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85" w:type="dxa"/>
        <w:tblInd w:w="1951" w:type="dxa"/>
        <w:tblLayout w:type="fixed"/>
        <w:tblLook w:val="04A0" w:firstRow="1" w:lastRow="0" w:firstColumn="1" w:lastColumn="0" w:noHBand="0" w:noVBand="1"/>
      </w:tblPr>
      <w:tblGrid>
        <w:gridCol w:w="5385"/>
      </w:tblGrid>
      <w:tr w:rsidR="004E1719" w:rsidRPr="0088338F" w14:paraId="6554A230" w14:textId="77777777" w:rsidTr="00A80B77">
        <w:trPr>
          <w:cantSplit/>
          <w:trHeight w:val="4200"/>
        </w:trPr>
        <w:tc>
          <w:tcPr>
            <w:tcW w:w="5386" w:type="dxa"/>
            <w:vAlign w:val="center"/>
          </w:tcPr>
          <w:p w14:paraId="7DA98A3F" w14:textId="4AA1B644" w:rsidR="004E1719" w:rsidRPr="0088338F" w:rsidRDefault="004E1719" w:rsidP="00A80B77">
            <w:pPr>
              <w:ind w:left="283"/>
              <w:jc w:val="center"/>
              <w:rPr>
                <w:rFonts w:ascii="Arial" w:hAnsi="Arial" w:cs="Arial"/>
                <w:b/>
                <w:sz w:val="56"/>
                <w:szCs w:val="56"/>
              </w:rPr>
            </w:pPr>
            <w:r w:rsidRPr="0088338F">
              <w:rPr>
                <w:rFonts w:ascii="Arial" w:hAnsi="Arial" w:cs="Arial"/>
                <w:b/>
                <w:sz w:val="56"/>
                <w:szCs w:val="56"/>
              </w:rPr>
              <w:t>Privatbanka, a.s.</w:t>
            </w:r>
          </w:p>
          <w:p w14:paraId="6C297CAF" w14:textId="77777777" w:rsidR="004E1719" w:rsidRPr="0088338F" w:rsidRDefault="004E1719" w:rsidP="00A80B77">
            <w:pPr>
              <w:ind w:left="283"/>
              <w:jc w:val="both"/>
              <w:rPr>
                <w:rFonts w:ascii="Arial" w:hAnsi="Arial" w:cs="Arial"/>
                <w:b/>
              </w:rPr>
            </w:pPr>
          </w:p>
          <w:p w14:paraId="0EA131B3" w14:textId="77777777" w:rsidR="004E1719" w:rsidRPr="0088338F" w:rsidRDefault="004E1719" w:rsidP="00A80B77">
            <w:pPr>
              <w:ind w:left="283"/>
              <w:jc w:val="center"/>
              <w:rPr>
                <w:rFonts w:ascii="Arial" w:hAnsi="Arial" w:cs="Arial"/>
                <w:b/>
              </w:rPr>
            </w:pPr>
            <w:r w:rsidRPr="0088338F">
              <w:rPr>
                <w:rFonts w:ascii="Arial" w:hAnsi="Arial" w:cs="Arial"/>
                <w:b/>
              </w:rPr>
              <w:t>Účtovná závierka</w:t>
            </w:r>
          </w:p>
          <w:p w14:paraId="58FC57B3" w14:textId="77777777" w:rsidR="004E1719" w:rsidRPr="0088338F" w:rsidRDefault="004E1719" w:rsidP="00A80B77">
            <w:pPr>
              <w:ind w:left="283"/>
              <w:jc w:val="center"/>
              <w:rPr>
                <w:rFonts w:ascii="Arial" w:hAnsi="Arial" w:cs="Arial"/>
                <w:b/>
              </w:rPr>
            </w:pPr>
            <w:r w:rsidRPr="0088338F">
              <w:rPr>
                <w:rFonts w:ascii="Arial" w:hAnsi="Arial" w:cs="Arial"/>
                <w:b/>
              </w:rPr>
              <w:t>pripravená v súlade s Medzinárodnými štandardmi finančného výkazníctva, ako boli prijaté Európskou úniou</w:t>
            </w:r>
          </w:p>
          <w:p w14:paraId="63BD464B" w14:textId="77777777" w:rsidR="004E1719" w:rsidRPr="0088338F" w:rsidRDefault="004E1719" w:rsidP="00A80B77">
            <w:pPr>
              <w:ind w:left="283"/>
              <w:jc w:val="both"/>
              <w:rPr>
                <w:rFonts w:ascii="Arial" w:hAnsi="Arial" w:cs="Arial"/>
                <w:b/>
              </w:rPr>
            </w:pPr>
          </w:p>
          <w:p w14:paraId="6F3E8409" w14:textId="77777777" w:rsidR="004E1719" w:rsidRPr="0088338F" w:rsidRDefault="004E1719" w:rsidP="00A80B77">
            <w:pPr>
              <w:ind w:left="283"/>
              <w:jc w:val="both"/>
              <w:rPr>
                <w:rFonts w:ascii="Arial" w:hAnsi="Arial" w:cs="Arial"/>
                <w:b/>
              </w:rPr>
            </w:pPr>
          </w:p>
          <w:p w14:paraId="4C5C3079" w14:textId="302F2BB9" w:rsidR="004E1719" w:rsidRPr="0088338F" w:rsidRDefault="004E1719" w:rsidP="00A80B77">
            <w:pPr>
              <w:ind w:left="283"/>
              <w:jc w:val="center"/>
              <w:rPr>
                <w:rFonts w:ascii="Arial" w:hAnsi="Arial" w:cs="Arial"/>
                <w:b/>
              </w:rPr>
            </w:pPr>
            <w:r w:rsidRPr="0088338F">
              <w:rPr>
                <w:rFonts w:ascii="Arial" w:hAnsi="Arial" w:cs="Arial"/>
                <w:b/>
              </w:rPr>
              <w:t>za rok, ktorý sa skončil 31. decembra 201</w:t>
            </w:r>
            <w:r w:rsidR="00FA020A" w:rsidRPr="0088338F">
              <w:rPr>
                <w:rFonts w:ascii="Arial" w:hAnsi="Arial" w:cs="Arial"/>
                <w:b/>
              </w:rPr>
              <w:t>6</w:t>
            </w:r>
          </w:p>
          <w:p w14:paraId="07BC7EAF" w14:textId="77777777" w:rsidR="004E1719" w:rsidRPr="0088338F" w:rsidRDefault="004E1719" w:rsidP="00A80B77">
            <w:pPr>
              <w:ind w:left="283" w:right="-52"/>
              <w:jc w:val="center"/>
              <w:rPr>
                <w:b/>
              </w:rPr>
            </w:pPr>
            <w:r w:rsidRPr="0088338F">
              <w:rPr>
                <w:rFonts w:ascii="Arial" w:hAnsi="Arial" w:cs="Arial"/>
                <w:b/>
              </w:rPr>
              <w:t>a správa nezávislého audítora</w:t>
            </w:r>
          </w:p>
        </w:tc>
      </w:tr>
    </w:tbl>
    <w:p w14:paraId="5955A9AE" w14:textId="77777777" w:rsidR="004E1719" w:rsidRPr="0088338F" w:rsidRDefault="004E1719" w:rsidP="0085568B">
      <w:pPr>
        <w:jc w:val="center"/>
        <w:rPr>
          <w:rFonts w:ascii="Arial" w:hAnsi="Arial" w:cs="Arial"/>
        </w:rPr>
      </w:pPr>
    </w:p>
    <w:p w14:paraId="465B653B" w14:textId="77777777" w:rsidR="004E1719" w:rsidRPr="0088338F" w:rsidRDefault="004E1719" w:rsidP="0085568B">
      <w:pPr>
        <w:jc w:val="center"/>
        <w:rPr>
          <w:rFonts w:ascii="Arial" w:hAnsi="Arial" w:cs="Arial"/>
        </w:rPr>
      </w:pPr>
    </w:p>
    <w:p w14:paraId="3B476D4A" w14:textId="77777777" w:rsidR="004E1719" w:rsidRPr="0088338F" w:rsidRDefault="004E1719" w:rsidP="0085568B">
      <w:pPr>
        <w:jc w:val="center"/>
        <w:rPr>
          <w:rFonts w:ascii="Arial" w:hAnsi="Arial" w:cs="Arial"/>
        </w:rPr>
      </w:pPr>
    </w:p>
    <w:p w14:paraId="3E387617" w14:textId="77777777" w:rsidR="004E1719" w:rsidRPr="0088338F" w:rsidRDefault="004E1719" w:rsidP="0085568B">
      <w:pPr>
        <w:jc w:val="center"/>
        <w:rPr>
          <w:rFonts w:ascii="Arial" w:hAnsi="Arial" w:cs="Arial"/>
        </w:rPr>
      </w:pPr>
    </w:p>
    <w:p w14:paraId="0DABF6A1" w14:textId="77777777" w:rsidR="004E1719" w:rsidRPr="0088338F" w:rsidRDefault="004E1719" w:rsidP="0085568B">
      <w:pPr>
        <w:jc w:val="center"/>
        <w:rPr>
          <w:rFonts w:ascii="Arial" w:hAnsi="Arial" w:cs="Arial"/>
        </w:rPr>
      </w:pPr>
    </w:p>
    <w:p w14:paraId="19213736" w14:textId="77777777" w:rsidR="004E1719" w:rsidRPr="0088338F" w:rsidRDefault="004E1719" w:rsidP="0085568B">
      <w:pPr>
        <w:jc w:val="center"/>
        <w:rPr>
          <w:rFonts w:ascii="Arial" w:hAnsi="Arial" w:cs="Arial"/>
        </w:rPr>
      </w:pPr>
    </w:p>
    <w:p w14:paraId="2A4FD95A" w14:textId="77777777" w:rsidR="004E1719" w:rsidRPr="0088338F" w:rsidRDefault="004E1719" w:rsidP="0085568B">
      <w:pPr>
        <w:jc w:val="center"/>
        <w:rPr>
          <w:rFonts w:ascii="Arial" w:hAnsi="Arial" w:cs="Arial"/>
        </w:rPr>
      </w:pPr>
    </w:p>
    <w:p w14:paraId="54521727" w14:textId="77777777" w:rsidR="004E1719" w:rsidRPr="0088338F" w:rsidRDefault="004E1719" w:rsidP="0085568B">
      <w:pPr>
        <w:jc w:val="center"/>
        <w:rPr>
          <w:rFonts w:ascii="Arial" w:hAnsi="Arial" w:cs="Arial"/>
        </w:rPr>
      </w:pPr>
    </w:p>
    <w:p w14:paraId="6C4F1B9E" w14:textId="77777777" w:rsidR="004E1719" w:rsidRPr="0088338F" w:rsidRDefault="004E1719" w:rsidP="0085568B">
      <w:pPr>
        <w:jc w:val="center"/>
        <w:rPr>
          <w:rFonts w:ascii="Arial" w:hAnsi="Arial" w:cs="Arial"/>
        </w:rPr>
      </w:pPr>
    </w:p>
    <w:p w14:paraId="31E35E2E" w14:textId="77777777" w:rsidR="004E1719" w:rsidRPr="0088338F" w:rsidRDefault="004E1719" w:rsidP="0085568B">
      <w:pPr>
        <w:jc w:val="center"/>
        <w:rPr>
          <w:rFonts w:ascii="Arial" w:hAnsi="Arial" w:cs="Arial"/>
        </w:rPr>
      </w:pPr>
    </w:p>
    <w:p w14:paraId="7AA0E632" w14:textId="77777777" w:rsidR="004E1719" w:rsidRPr="0088338F" w:rsidRDefault="004E1719" w:rsidP="0085568B">
      <w:pPr>
        <w:jc w:val="center"/>
        <w:rPr>
          <w:rFonts w:ascii="Arial" w:hAnsi="Arial" w:cs="Arial"/>
        </w:rPr>
      </w:pPr>
    </w:p>
    <w:p w14:paraId="09AC040E" w14:textId="77777777" w:rsidR="004E1719" w:rsidRPr="0088338F" w:rsidRDefault="004E1719" w:rsidP="0085568B">
      <w:pPr>
        <w:jc w:val="center"/>
        <w:rPr>
          <w:rFonts w:ascii="Arial" w:hAnsi="Arial" w:cs="Arial"/>
        </w:rPr>
      </w:pPr>
    </w:p>
    <w:p w14:paraId="2724322D" w14:textId="77777777" w:rsidR="004E1719" w:rsidRPr="0088338F" w:rsidRDefault="004E1719" w:rsidP="0085568B">
      <w:pPr>
        <w:jc w:val="center"/>
        <w:rPr>
          <w:rFonts w:ascii="Arial" w:hAnsi="Arial" w:cs="Arial"/>
        </w:rPr>
      </w:pPr>
    </w:p>
    <w:p w14:paraId="32A5BED1" w14:textId="77777777" w:rsidR="004E1719" w:rsidRPr="0088338F" w:rsidRDefault="004E1719" w:rsidP="0085568B">
      <w:pPr>
        <w:jc w:val="center"/>
        <w:rPr>
          <w:rFonts w:ascii="Arial" w:hAnsi="Arial" w:cs="Arial"/>
        </w:rPr>
      </w:pPr>
    </w:p>
    <w:p w14:paraId="171731C4" w14:textId="77777777" w:rsidR="004E1719" w:rsidRPr="0088338F" w:rsidRDefault="004E1719" w:rsidP="0085568B">
      <w:pPr>
        <w:jc w:val="center"/>
        <w:rPr>
          <w:rFonts w:ascii="Arial" w:hAnsi="Arial" w:cs="Arial"/>
        </w:rPr>
      </w:pPr>
    </w:p>
    <w:p w14:paraId="6FDCE4C5" w14:textId="77777777" w:rsidR="004E1719" w:rsidRPr="0088338F" w:rsidRDefault="004E1719" w:rsidP="0085568B">
      <w:pPr>
        <w:jc w:val="center"/>
        <w:rPr>
          <w:rFonts w:ascii="Arial" w:hAnsi="Arial" w:cs="Arial"/>
        </w:rPr>
      </w:pPr>
    </w:p>
    <w:p w14:paraId="08415F18" w14:textId="77777777" w:rsidR="004E1719" w:rsidRPr="0088338F" w:rsidRDefault="004E1719" w:rsidP="0085568B">
      <w:pPr>
        <w:jc w:val="center"/>
        <w:rPr>
          <w:rFonts w:ascii="Arial" w:hAnsi="Arial" w:cs="Arial"/>
        </w:rPr>
      </w:pPr>
    </w:p>
    <w:p w14:paraId="4EE9C335" w14:textId="77777777" w:rsidR="004E1719" w:rsidRPr="0088338F" w:rsidRDefault="004E1719" w:rsidP="0085568B">
      <w:pPr>
        <w:jc w:val="center"/>
        <w:rPr>
          <w:rFonts w:ascii="Arial" w:hAnsi="Arial" w:cs="Arial"/>
        </w:rPr>
      </w:pPr>
    </w:p>
    <w:p w14:paraId="78F29786" w14:textId="77777777" w:rsidR="004E1719" w:rsidRPr="0088338F" w:rsidRDefault="004E1719" w:rsidP="0085568B">
      <w:pPr>
        <w:jc w:val="center"/>
        <w:rPr>
          <w:rFonts w:ascii="Arial" w:hAnsi="Arial" w:cs="Arial"/>
        </w:rPr>
        <w:sectPr w:rsidR="004E1719" w:rsidRPr="0088338F" w:rsidSect="00BD0859">
          <w:headerReference w:type="default" r:id="rId10"/>
          <w:pgSz w:w="11906" w:h="16838"/>
          <w:pgMar w:top="1418" w:right="1418" w:bottom="1418" w:left="1418" w:header="709" w:footer="709" w:gutter="0"/>
          <w:cols w:space="708"/>
          <w:vAlign w:val="center"/>
          <w:docGrid w:linePitch="360"/>
        </w:sectPr>
      </w:pPr>
    </w:p>
    <w:p w14:paraId="7605B1B8" w14:textId="77777777" w:rsidR="00410E96" w:rsidRPr="0088338F" w:rsidRDefault="00410E96" w:rsidP="00193801">
      <w:pPr>
        <w:tabs>
          <w:tab w:val="left" w:pos="8460"/>
        </w:tabs>
        <w:jc w:val="both"/>
        <w:rPr>
          <w:rFonts w:ascii="Arial" w:hAnsi="Arial" w:cs="Arial"/>
          <w:b/>
        </w:rPr>
      </w:pPr>
      <w:r w:rsidRPr="0088338F">
        <w:rPr>
          <w:rFonts w:ascii="Arial" w:hAnsi="Arial" w:cs="Arial"/>
          <w:b/>
        </w:rPr>
        <w:lastRenderedPageBreak/>
        <w:t>Obsah</w:t>
      </w:r>
    </w:p>
    <w:p w14:paraId="537FC419" w14:textId="77777777" w:rsidR="00410E96" w:rsidRPr="0088338F" w:rsidRDefault="00410E96" w:rsidP="00193801">
      <w:pPr>
        <w:tabs>
          <w:tab w:val="left" w:pos="8460"/>
        </w:tabs>
        <w:jc w:val="both"/>
        <w:rPr>
          <w:rFonts w:ascii="Arial" w:hAnsi="Arial" w:cs="Arial"/>
        </w:rPr>
      </w:pPr>
    </w:p>
    <w:p w14:paraId="6792CE6B" w14:textId="77777777" w:rsidR="00410E96" w:rsidRPr="0088338F" w:rsidRDefault="00410E96" w:rsidP="00193801">
      <w:pPr>
        <w:tabs>
          <w:tab w:val="left" w:pos="8460"/>
        </w:tabs>
        <w:jc w:val="both"/>
        <w:rPr>
          <w:rFonts w:ascii="Arial" w:hAnsi="Arial" w:cs="Arial"/>
        </w:rPr>
      </w:pPr>
    </w:p>
    <w:p w14:paraId="0605C8D3" w14:textId="77777777" w:rsidR="00410E96" w:rsidRPr="0088338F" w:rsidRDefault="00410E96" w:rsidP="00CD4D1E">
      <w:pPr>
        <w:jc w:val="both"/>
        <w:rPr>
          <w:rFonts w:ascii="Arial" w:hAnsi="Arial" w:cs="Arial"/>
        </w:rPr>
      </w:pPr>
    </w:p>
    <w:p w14:paraId="26F5F3FC" w14:textId="77777777" w:rsidR="00193801" w:rsidRPr="0088338F" w:rsidRDefault="00193801" w:rsidP="00193801">
      <w:pPr>
        <w:tabs>
          <w:tab w:val="left" w:pos="8460"/>
        </w:tabs>
        <w:jc w:val="both"/>
        <w:rPr>
          <w:rFonts w:ascii="Arial" w:hAnsi="Arial" w:cs="Arial"/>
        </w:rPr>
      </w:pPr>
      <w:r w:rsidRPr="0088338F">
        <w:rPr>
          <w:rFonts w:ascii="Arial" w:hAnsi="Arial" w:cs="Arial"/>
        </w:rPr>
        <w:t>Správa nezávislého audítora</w:t>
      </w:r>
      <w:r w:rsidRPr="0088338F">
        <w:rPr>
          <w:rFonts w:ascii="Arial" w:hAnsi="Arial" w:cs="Arial"/>
        </w:rPr>
        <w:tab/>
        <w:t>3</w:t>
      </w:r>
    </w:p>
    <w:p w14:paraId="449DE044" w14:textId="77777777" w:rsidR="00193801" w:rsidRPr="0088338F" w:rsidRDefault="00193801" w:rsidP="00CD4D1E">
      <w:pPr>
        <w:jc w:val="both"/>
        <w:rPr>
          <w:rFonts w:ascii="Arial" w:hAnsi="Arial" w:cs="Arial"/>
        </w:rPr>
      </w:pPr>
    </w:p>
    <w:p w14:paraId="77B162BF" w14:textId="77777777" w:rsidR="00193801" w:rsidRPr="0088338F" w:rsidRDefault="00193801" w:rsidP="00CD4D1E">
      <w:pPr>
        <w:jc w:val="both"/>
        <w:rPr>
          <w:rFonts w:ascii="Arial" w:hAnsi="Arial" w:cs="Arial"/>
        </w:rPr>
      </w:pPr>
    </w:p>
    <w:p w14:paraId="6B26359E" w14:textId="77777777" w:rsidR="00193801" w:rsidRPr="0088338F" w:rsidRDefault="00193801" w:rsidP="00CD4D1E">
      <w:pPr>
        <w:jc w:val="both"/>
        <w:rPr>
          <w:rFonts w:ascii="Arial" w:hAnsi="Arial" w:cs="Arial"/>
        </w:rPr>
      </w:pPr>
    </w:p>
    <w:p w14:paraId="33E3CE88" w14:textId="7EEDD519" w:rsidR="00BD0859" w:rsidRPr="0088338F" w:rsidRDefault="00A06C17" w:rsidP="00BD0859">
      <w:pPr>
        <w:tabs>
          <w:tab w:val="left" w:pos="8460"/>
        </w:tabs>
        <w:jc w:val="both"/>
        <w:rPr>
          <w:rFonts w:ascii="Arial" w:hAnsi="Arial" w:cs="Arial"/>
        </w:rPr>
      </w:pPr>
      <w:r w:rsidRPr="0088338F">
        <w:rPr>
          <w:rFonts w:ascii="Arial" w:hAnsi="Arial" w:cs="Arial"/>
        </w:rPr>
        <w:t>Výkaz o finančnej situácii</w:t>
      </w:r>
      <w:r w:rsidR="00C614A6" w:rsidRPr="0088338F">
        <w:rPr>
          <w:rFonts w:ascii="Arial" w:hAnsi="Arial" w:cs="Arial"/>
        </w:rPr>
        <w:tab/>
      </w:r>
      <w:r w:rsidR="00327938" w:rsidRPr="0088338F">
        <w:rPr>
          <w:rFonts w:ascii="Arial" w:hAnsi="Arial" w:cs="Arial"/>
        </w:rPr>
        <w:t>7</w:t>
      </w:r>
    </w:p>
    <w:p w14:paraId="4577130B" w14:textId="77777777" w:rsidR="00BD0859" w:rsidRPr="0088338F" w:rsidRDefault="00BD0859" w:rsidP="00CD4D1E">
      <w:pPr>
        <w:jc w:val="both"/>
        <w:rPr>
          <w:rFonts w:ascii="Arial" w:hAnsi="Arial" w:cs="Arial"/>
        </w:rPr>
      </w:pPr>
    </w:p>
    <w:p w14:paraId="04226C75" w14:textId="77777777" w:rsidR="00BD0859" w:rsidRPr="0088338F" w:rsidRDefault="00BD0859" w:rsidP="00CD4D1E">
      <w:pPr>
        <w:jc w:val="both"/>
        <w:rPr>
          <w:rFonts w:ascii="Arial" w:hAnsi="Arial" w:cs="Arial"/>
        </w:rPr>
      </w:pPr>
    </w:p>
    <w:p w14:paraId="37A787B7" w14:textId="77777777" w:rsidR="00BD0859" w:rsidRPr="0088338F" w:rsidRDefault="00BD0859" w:rsidP="00CD4D1E">
      <w:pPr>
        <w:jc w:val="both"/>
        <w:rPr>
          <w:rFonts w:ascii="Arial" w:hAnsi="Arial" w:cs="Arial"/>
        </w:rPr>
      </w:pPr>
    </w:p>
    <w:p w14:paraId="310E4EB3" w14:textId="051519B2" w:rsidR="00BD0859" w:rsidRPr="0088338F" w:rsidRDefault="00FC5AA7" w:rsidP="00C614A6">
      <w:pPr>
        <w:tabs>
          <w:tab w:val="left" w:pos="8460"/>
        </w:tabs>
        <w:jc w:val="both"/>
        <w:rPr>
          <w:rFonts w:ascii="Arial" w:hAnsi="Arial" w:cs="Arial"/>
        </w:rPr>
      </w:pPr>
      <w:r w:rsidRPr="0088338F">
        <w:rPr>
          <w:rFonts w:ascii="Arial" w:hAnsi="Arial" w:cs="Arial"/>
        </w:rPr>
        <w:t>V</w:t>
      </w:r>
      <w:r w:rsidR="00BD0859" w:rsidRPr="0088338F">
        <w:rPr>
          <w:rFonts w:ascii="Arial" w:hAnsi="Arial" w:cs="Arial"/>
        </w:rPr>
        <w:t>ýkaz ziskov a</w:t>
      </w:r>
      <w:r w:rsidR="00C614A6" w:rsidRPr="0088338F">
        <w:rPr>
          <w:rFonts w:ascii="Arial" w:hAnsi="Arial" w:cs="Arial"/>
        </w:rPr>
        <w:t> </w:t>
      </w:r>
      <w:r w:rsidR="00BD0859" w:rsidRPr="0088338F">
        <w:rPr>
          <w:rFonts w:ascii="Arial" w:hAnsi="Arial" w:cs="Arial"/>
        </w:rPr>
        <w:t>strát</w:t>
      </w:r>
      <w:r w:rsidR="00C614A6" w:rsidRPr="0088338F">
        <w:rPr>
          <w:rFonts w:ascii="Arial" w:hAnsi="Arial" w:cs="Arial"/>
        </w:rPr>
        <w:tab/>
      </w:r>
      <w:r w:rsidR="00327938" w:rsidRPr="0088338F">
        <w:rPr>
          <w:rFonts w:ascii="Arial" w:hAnsi="Arial" w:cs="Arial"/>
        </w:rPr>
        <w:t>8</w:t>
      </w:r>
    </w:p>
    <w:p w14:paraId="0CEDECFE" w14:textId="77777777" w:rsidR="00BD0859" w:rsidRPr="0088338F" w:rsidRDefault="00BD0859" w:rsidP="00CD4D1E">
      <w:pPr>
        <w:jc w:val="both"/>
        <w:rPr>
          <w:rFonts w:ascii="Arial" w:hAnsi="Arial" w:cs="Arial"/>
        </w:rPr>
      </w:pPr>
    </w:p>
    <w:p w14:paraId="1EA97616" w14:textId="77777777" w:rsidR="00A06C17" w:rsidRPr="0088338F" w:rsidRDefault="00A06C17" w:rsidP="00CD4D1E">
      <w:pPr>
        <w:jc w:val="both"/>
        <w:rPr>
          <w:rFonts w:ascii="Arial" w:hAnsi="Arial" w:cs="Arial"/>
        </w:rPr>
      </w:pPr>
    </w:p>
    <w:p w14:paraId="6623EB1A" w14:textId="77777777" w:rsidR="00A06C17" w:rsidRPr="0088338F" w:rsidRDefault="00A06C17" w:rsidP="00CD4D1E">
      <w:pPr>
        <w:jc w:val="both"/>
        <w:rPr>
          <w:rFonts w:ascii="Arial" w:hAnsi="Arial" w:cs="Arial"/>
        </w:rPr>
      </w:pPr>
    </w:p>
    <w:p w14:paraId="0AFF3EBB" w14:textId="15876DA6" w:rsidR="00A06C17" w:rsidRPr="0088338F" w:rsidRDefault="00A06C17" w:rsidP="00A06C17">
      <w:pPr>
        <w:tabs>
          <w:tab w:val="left" w:pos="8460"/>
        </w:tabs>
        <w:jc w:val="both"/>
        <w:rPr>
          <w:rFonts w:ascii="Arial" w:hAnsi="Arial" w:cs="Arial"/>
        </w:rPr>
      </w:pPr>
      <w:r w:rsidRPr="0088338F">
        <w:rPr>
          <w:rFonts w:ascii="Arial" w:hAnsi="Arial" w:cs="Arial"/>
        </w:rPr>
        <w:t xml:space="preserve">Výkaz </w:t>
      </w:r>
      <w:r w:rsidR="00A30B89" w:rsidRPr="0088338F">
        <w:rPr>
          <w:rFonts w:ascii="Arial" w:hAnsi="Arial" w:cs="Arial"/>
        </w:rPr>
        <w:t>súhrnného</w:t>
      </w:r>
      <w:r w:rsidRPr="0088338F">
        <w:rPr>
          <w:rFonts w:ascii="Arial" w:hAnsi="Arial" w:cs="Arial"/>
        </w:rPr>
        <w:t xml:space="preserve"> výsledku</w:t>
      </w:r>
      <w:r w:rsidRPr="0088338F">
        <w:rPr>
          <w:rFonts w:ascii="Arial" w:hAnsi="Arial" w:cs="Arial"/>
        </w:rPr>
        <w:tab/>
      </w:r>
      <w:r w:rsidR="00327938" w:rsidRPr="0088338F">
        <w:rPr>
          <w:rFonts w:ascii="Arial" w:hAnsi="Arial" w:cs="Arial"/>
        </w:rPr>
        <w:t>9</w:t>
      </w:r>
    </w:p>
    <w:p w14:paraId="7D165031" w14:textId="77777777" w:rsidR="00A06C17" w:rsidRPr="0088338F" w:rsidRDefault="00A06C17" w:rsidP="00CD4D1E">
      <w:pPr>
        <w:jc w:val="both"/>
        <w:rPr>
          <w:rFonts w:ascii="Arial" w:hAnsi="Arial" w:cs="Arial"/>
        </w:rPr>
      </w:pPr>
    </w:p>
    <w:p w14:paraId="5C0F53D9" w14:textId="77777777" w:rsidR="00BD0859" w:rsidRPr="0088338F" w:rsidRDefault="00BD0859" w:rsidP="00CD4D1E">
      <w:pPr>
        <w:jc w:val="both"/>
        <w:rPr>
          <w:rFonts w:ascii="Arial" w:hAnsi="Arial" w:cs="Arial"/>
        </w:rPr>
      </w:pPr>
    </w:p>
    <w:p w14:paraId="531082F9" w14:textId="77777777" w:rsidR="00BD0859" w:rsidRPr="0088338F" w:rsidRDefault="00BD0859" w:rsidP="00CD4D1E">
      <w:pPr>
        <w:jc w:val="both"/>
        <w:rPr>
          <w:rFonts w:ascii="Arial" w:hAnsi="Arial" w:cs="Arial"/>
        </w:rPr>
      </w:pPr>
    </w:p>
    <w:p w14:paraId="3B7D6DD0" w14:textId="078644B0" w:rsidR="00BD0859" w:rsidRPr="0088338F" w:rsidRDefault="00FC5AA7" w:rsidP="00C614A6">
      <w:pPr>
        <w:tabs>
          <w:tab w:val="left" w:pos="8460"/>
        </w:tabs>
        <w:jc w:val="both"/>
        <w:rPr>
          <w:rFonts w:ascii="Arial" w:hAnsi="Arial" w:cs="Arial"/>
        </w:rPr>
      </w:pPr>
      <w:r w:rsidRPr="0088338F">
        <w:rPr>
          <w:rFonts w:ascii="Arial" w:hAnsi="Arial" w:cs="Arial"/>
        </w:rPr>
        <w:t>Výkaz zmien vlastn</w:t>
      </w:r>
      <w:r w:rsidR="00A06C17" w:rsidRPr="0088338F">
        <w:rPr>
          <w:rFonts w:ascii="Arial" w:hAnsi="Arial" w:cs="Arial"/>
        </w:rPr>
        <w:t>ého</w:t>
      </w:r>
      <w:r w:rsidRPr="0088338F">
        <w:rPr>
          <w:rFonts w:ascii="Arial" w:hAnsi="Arial" w:cs="Arial"/>
        </w:rPr>
        <w:t xml:space="preserve"> iman</w:t>
      </w:r>
      <w:r w:rsidR="00A06C17" w:rsidRPr="0088338F">
        <w:rPr>
          <w:rFonts w:ascii="Arial" w:hAnsi="Arial" w:cs="Arial"/>
        </w:rPr>
        <w:t>ia</w:t>
      </w:r>
      <w:r w:rsidR="00C614A6" w:rsidRPr="0088338F">
        <w:rPr>
          <w:rFonts w:ascii="Arial" w:hAnsi="Arial" w:cs="Arial"/>
        </w:rPr>
        <w:tab/>
      </w:r>
      <w:r w:rsidR="00327938" w:rsidRPr="0088338F">
        <w:rPr>
          <w:rFonts w:ascii="Arial" w:hAnsi="Arial" w:cs="Arial"/>
        </w:rPr>
        <w:t>10</w:t>
      </w:r>
    </w:p>
    <w:p w14:paraId="55EA98DB" w14:textId="77777777" w:rsidR="00BD0859" w:rsidRPr="0088338F" w:rsidRDefault="00BD0859" w:rsidP="00CD4D1E">
      <w:pPr>
        <w:jc w:val="both"/>
        <w:rPr>
          <w:rFonts w:ascii="Arial" w:hAnsi="Arial" w:cs="Arial"/>
        </w:rPr>
      </w:pPr>
    </w:p>
    <w:p w14:paraId="23F6F0A9" w14:textId="77777777" w:rsidR="00BD0859" w:rsidRPr="0088338F" w:rsidRDefault="00BD0859" w:rsidP="00CD4D1E">
      <w:pPr>
        <w:jc w:val="both"/>
        <w:rPr>
          <w:rFonts w:ascii="Arial" w:hAnsi="Arial" w:cs="Arial"/>
        </w:rPr>
      </w:pPr>
    </w:p>
    <w:p w14:paraId="537B5AD6" w14:textId="77777777" w:rsidR="00BD0859" w:rsidRPr="0088338F" w:rsidRDefault="00BD0859" w:rsidP="00CD4D1E">
      <w:pPr>
        <w:jc w:val="both"/>
        <w:rPr>
          <w:rFonts w:ascii="Arial" w:hAnsi="Arial" w:cs="Arial"/>
        </w:rPr>
      </w:pPr>
    </w:p>
    <w:p w14:paraId="3E589C9C" w14:textId="4505BD13" w:rsidR="00BD0859" w:rsidRPr="0088338F" w:rsidRDefault="00FC5AA7" w:rsidP="00C614A6">
      <w:pPr>
        <w:tabs>
          <w:tab w:val="left" w:pos="8460"/>
        </w:tabs>
        <w:jc w:val="both"/>
        <w:rPr>
          <w:rFonts w:ascii="Arial" w:hAnsi="Arial" w:cs="Arial"/>
        </w:rPr>
      </w:pPr>
      <w:r w:rsidRPr="0088338F">
        <w:rPr>
          <w:rFonts w:ascii="Arial" w:hAnsi="Arial" w:cs="Arial"/>
        </w:rPr>
        <w:t xml:space="preserve">Výkaz </w:t>
      </w:r>
      <w:r w:rsidR="00BD0859" w:rsidRPr="0088338F">
        <w:rPr>
          <w:rFonts w:ascii="Arial" w:hAnsi="Arial" w:cs="Arial"/>
        </w:rPr>
        <w:t>peňažných toko</w:t>
      </w:r>
      <w:r w:rsidRPr="0088338F">
        <w:rPr>
          <w:rFonts w:ascii="Arial" w:hAnsi="Arial" w:cs="Arial"/>
        </w:rPr>
        <w:t>v</w:t>
      </w:r>
      <w:r w:rsidR="00C614A6" w:rsidRPr="0088338F">
        <w:rPr>
          <w:rFonts w:ascii="Arial" w:hAnsi="Arial" w:cs="Arial"/>
        </w:rPr>
        <w:tab/>
      </w:r>
      <w:r w:rsidR="00327938" w:rsidRPr="0088338F">
        <w:rPr>
          <w:rFonts w:ascii="Arial" w:hAnsi="Arial" w:cs="Arial"/>
        </w:rPr>
        <w:t>11</w:t>
      </w:r>
    </w:p>
    <w:p w14:paraId="687CD07B" w14:textId="77777777" w:rsidR="00BD0859" w:rsidRPr="0088338F" w:rsidRDefault="00BD0859" w:rsidP="00CD4D1E">
      <w:pPr>
        <w:jc w:val="both"/>
        <w:rPr>
          <w:rFonts w:ascii="Arial" w:hAnsi="Arial" w:cs="Arial"/>
        </w:rPr>
      </w:pPr>
    </w:p>
    <w:p w14:paraId="1756E749" w14:textId="77777777" w:rsidR="00BD0859" w:rsidRPr="0088338F" w:rsidRDefault="00BD0859" w:rsidP="00CD4D1E">
      <w:pPr>
        <w:jc w:val="both"/>
        <w:rPr>
          <w:rFonts w:ascii="Arial" w:hAnsi="Arial" w:cs="Arial"/>
        </w:rPr>
      </w:pPr>
    </w:p>
    <w:p w14:paraId="7BF3A4DF" w14:textId="77777777" w:rsidR="00BD0859" w:rsidRPr="0088338F" w:rsidRDefault="00BD0859" w:rsidP="00C614A6">
      <w:pPr>
        <w:tabs>
          <w:tab w:val="left" w:pos="8460"/>
        </w:tabs>
        <w:jc w:val="both"/>
        <w:rPr>
          <w:rFonts w:ascii="Arial" w:hAnsi="Arial" w:cs="Arial"/>
        </w:rPr>
      </w:pPr>
    </w:p>
    <w:p w14:paraId="4D08F88C" w14:textId="08335108" w:rsidR="00BD0859" w:rsidRPr="0088338F" w:rsidRDefault="00193801" w:rsidP="00C614A6">
      <w:pPr>
        <w:tabs>
          <w:tab w:val="left" w:pos="8460"/>
        </w:tabs>
        <w:jc w:val="both"/>
        <w:rPr>
          <w:rFonts w:ascii="Arial" w:hAnsi="Arial" w:cs="Arial"/>
        </w:rPr>
      </w:pPr>
      <w:r w:rsidRPr="0088338F">
        <w:rPr>
          <w:rFonts w:ascii="Arial" w:hAnsi="Arial" w:cs="Arial"/>
        </w:rPr>
        <w:t>P</w:t>
      </w:r>
      <w:r w:rsidR="00BD0859" w:rsidRPr="0088338F">
        <w:rPr>
          <w:rFonts w:ascii="Arial" w:hAnsi="Arial" w:cs="Arial"/>
        </w:rPr>
        <w:t>oznámky k</w:t>
      </w:r>
      <w:r w:rsidR="00FC5AA7" w:rsidRPr="0088338F">
        <w:rPr>
          <w:rFonts w:ascii="Arial" w:hAnsi="Arial" w:cs="Arial"/>
        </w:rPr>
        <w:t xml:space="preserve"> </w:t>
      </w:r>
      <w:r w:rsidR="00BD0859" w:rsidRPr="0088338F">
        <w:rPr>
          <w:rFonts w:ascii="Arial" w:hAnsi="Arial" w:cs="Arial"/>
        </w:rPr>
        <w:t>účtovnej závierke</w:t>
      </w:r>
      <w:r w:rsidR="00C614A6" w:rsidRPr="0088338F">
        <w:rPr>
          <w:rFonts w:ascii="Arial" w:hAnsi="Arial" w:cs="Arial"/>
        </w:rPr>
        <w:tab/>
      </w:r>
      <w:r w:rsidR="00327938" w:rsidRPr="0088338F">
        <w:rPr>
          <w:rFonts w:ascii="Arial" w:hAnsi="Arial" w:cs="Arial"/>
        </w:rPr>
        <w:t>12</w:t>
      </w:r>
    </w:p>
    <w:p w14:paraId="6C33DE4F" w14:textId="77777777" w:rsidR="00C614A6" w:rsidRPr="0088338F" w:rsidRDefault="00C614A6" w:rsidP="00C614A6">
      <w:pPr>
        <w:tabs>
          <w:tab w:val="left" w:pos="8460"/>
        </w:tabs>
        <w:jc w:val="both"/>
        <w:rPr>
          <w:rFonts w:ascii="Arial" w:hAnsi="Arial" w:cs="Arial"/>
        </w:rPr>
      </w:pPr>
    </w:p>
    <w:p w14:paraId="1CE47988" w14:textId="77777777" w:rsidR="00BD0859" w:rsidRPr="0088338F" w:rsidRDefault="00BD0859" w:rsidP="00C614A6">
      <w:pPr>
        <w:tabs>
          <w:tab w:val="left" w:pos="8460"/>
        </w:tabs>
        <w:jc w:val="both"/>
        <w:rPr>
          <w:rFonts w:ascii="Arial" w:hAnsi="Arial" w:cs="Arial"/>
        </w:rPr>
        <w:sectPr w:rsidR="00BD0859" w:rsidRPr="0088338F" w:rsidSect="000945E5">
          <w:headerReference w:type="even" r:id="rId11"/>
          <w:headerReference w:type="default" r:id="rId12"/>
          <w:footerReference w:type="even" r:id="rId13"/>
          <w:footerReference w:type="default" r:id="rId14"/>
          <w:headerReference w:type="first" r:id="rId15"/>
          <w:footerReference w:type="first" r:id="rId16"/>
          <w:pgSz w:w="11906" w:h="16838" w:code="9"/>
          <w:pgMar w:top="-1453" w:right="1418" w:bottom="1418" w:left="1418" w:header="709" w:footer="709" w:gutter="0"/>
          <w:cols w:space="708"/>
          <w:vAlign w:val="center"/>
          <w:docGrid w:linePitch="360"/>
        </w:sectPr>
      </w:pPr>
    </w:p>
    <w:p w14:paraId="04172190" w14:textId="77777777" w:rsidR="008D486F" w:rsidRPr="0088338F" w:rsidRDefault="008D486F" w:rsidP="00813DEC">
      <w:pPr>
        <w:jc w:val="center"/>
        <w:rPr>
          <w:szCs w:val="20"/>
        </w:rPr>
      </w:pPr>
    </w:p>
    <w:tbl>
      <w:tblPr>
        <w:tblW w:w="9238" w:type="dxa"/>
        <w:tblInd w:w="103" w:type="dxa"/>
        <w:tblLook w:val="04A0" w:firstRow="1" w:lastRow="0" w:firstColumn="1" w:lastColumn="0" w:noHBand="0" w:noVBand="1"/>
      </w:tblPr>
      <w:tblGrid>
        <w:gridCol w:w="5320"/>
        <w:gridCol w:w="922"/>
        <w:gridCol w:w="1459"/>
        <w:gridCol w:w="1537"/>
      </w:tblGrid>
      <w:tr w:rsidR="008D486F" w:rsidRPr="0088338F" w14:paraId="09C8A9AC" w14:textId="77777777" w:rsidTr="00AE23E4">
        <w:trPr>
          <w:trHeight w:val="510"/>
        </w:trPr>
        <w:tc>
          <w:tcPr>
            <w:tcW w:w="5320" w:type="dxa"/>
            <w:tcBorders>
              <w:top w:val="single" w:sz="12" w:space="0" w:color="auto"/>
              <w:left w:val="single" w:sz="4" w:space="0" w:color="FFFFFF"/>
              <w:bottom w:val="single" w:sz="4" w:space="0" w:color="auto"/>
              <w:right w:val="single" w:sz="4" w:space="0" w:color="FFFFFF"/>
            </w:tcBorders>
            <w:shd w:val="clear" w:color="auto" w:fill="auto"/>
            <w:noWrap/>
            <w:vAlign w:val="bottom"/>
          </w:tcPr>
          <w:p w14:paraId="066F4BE9" w14:textId="77777777" w:rsidR="008D486F" w:rsidRPr="0088338F" w:rsidRDefault="008D486F" w:rsidP="00831995">
            <w:pPr>
              <w:rPr>
                <w:rFonts w:ascii="Arial" w:hAnsi="Arial" w:cs="Arial"/>
                <w:b/>
                <w:bCs/>
                <w:sz w:val="20"/>
                <w:szCs w:val="20"/>
                <w:lang w:eastAsia="en-US"/>
              </w:rPr>
            </w:pPr>
            <w:bookmarkStart w:id="0" w:name="RANGE!A2:D37"/>
            <w:r w:rsidRPr="0088338F">
              <w:rPr>
                <w:rFonts w:ascii="Arial" w:hAnsi="Arial" w:cs="Arial"/>
                <w:b/>
                <w:bCs/>
                <w:sz w:val="20"/>
                <w:szCs w:val="20"/>
                <w:lang w:eastAsia="en-US"/>
              </w:rPr>
              <w:t> </w:t>
            </w:r>
            <w:bookmarkEnd w:id="0"/>
          </w:p>
        </w:tc>
        <w:tc>
          <w:tcPr>
            <w:tcW w:w="922" w:type="dxa"/>
            <w:tcBorders>
              <w:top w:val="single" w:sz="12" w:space="0" w:color="auto"/>
              <w:left w:val="nil"/>
              <w:bottom w:val="single" w:sz="4" w:space="0" w:color="auto"/>
              <w:right w:val="single" w:sz="4" w:space="0" w:color="FFFFFF"/>
            </w:tcBorders>
            <w:shd w:val="clear" w:color="auto" w:fill="auto"/>
            <w:vAlign w:val="bottom"/>
          </w:tcPr>
          <w:p w14:paraId="76BFDEC4" w14:textId="77777777" w:rsidR="008D486F" w:rsidRPr="0088338F" w:rsidRDefault="008D486F" w:rsidP="00831995">
            <w:pPr>
              <w:jc w:val="right"/>
              <w:rPr>
                <w:rFonts w:ascii="Arial" w:hAnsi="Arial" w:cs="Arial"/>
                <w:b/>
                <w:bCs/>
                <w:sz w:val="20"/>
                <w:szCs w:val="20"/>
                <w:lang w:eastAsia="en-US"/>
              </w:rPr>
            </w:pPr>
            <w:r w:rsidRPr="0088338F">
              <w:rPr>
                <w:rFonts w:ascii="Arial" w:hAnsi="Arial" w:cs="Arial"/>
                <w:b/>
                <w:bCs/>
                <w:sz w:val="20"/>
                <w:szCs w:val="20"/>
                <w:lang w:eastAsia="en-US"/>
              </w:rPr>
              <w:t>Bod.</w:t>
            </w:r>
            <w:r w:rsidRPr="0088338F">
              <w:rPr>
                <w:rFonts w:ascii="Arial" w:hAnsi="Arial" w:cs="Arial"/>
                <w:b/>
                <w:bCs/>
                <w:sz w:val="20"/>
                <w:szCs w:val="20"/>
                <w:lang w:eastAsia="en-US"/>
              </w:rPr>
              <w:br/>
              <w:t>pozn.</w:t>
            </w:r>
          </w:p>
        </w:tc>
        <w:tc>
          <w:tcPr>
            <w:tcW w:w="1459" w:type="dxa"/>
            <w:tcBorders>
              <w:top w:val="single" w:sz="12" w:space="0" w:color="auto"/>
              <w:left w:val="nil"/>
              <w:bottom w:val="single" w:sz="4" w:space="0" w:color="auto"/>
              <w:right w:val="single" w:sz="4" w:space="0" w:color="FFFFFF"/>
            </w:tcBorders>
            <w:shd w:val="clear" w:color="auto" w:fill="auto"/>
            <w:vAlign w:val="bottom"/>
          </w:tcPr>
          <w:p w14:paraId="39D1FD17" w14:textId="779DB482" w:rsidR="008D486F" w:rsidRPr="0088338F" w:rsidRDefault="008D486F" w:rsidP="00257DB7">
            <w:pPr>
              <w:jc w:val="right"/>
              <w:rPr>
                <w:rFonts w:ascii="Arial" w:hAnsi="Arial" w:cs="Arial"/>
                <w:b/>
                <w:bCs/>
                <w:sz w:val="20"/>
                <w:szCs w:val="20"/>
                <w:lang w:eastAsia="en-US"/>
              </w:rPr>
            </w:pPr>
            <w:r w:rsidRPr="0088338F">
              <w:rPr>
                <w:rFonts w:ascii="Arial" w:hAnsi="Arial" w:cs="Arial"/>
                <w:b/>
                <w:bCs/>
                <w:sz w:val="20"/>
                <w:szCs w:val="20"/>
                <w:lang w:eastAsia="en-US"/>
              </w:rPr>
              <w:t>20</w:t>
            </w:r>
            <w:r w:rsidR="00AE23E4" w:rsidRPr="0088338F">
              <w:rPr>
                <w:rFonts w:ascii="Arial" w:hAnsi="Arial" w:cs="Arial"/>
                <w:b/>
                <w:bCs/>
                <w:sz w:val="20"/>
                <w:szCs w:val="20"/>
                <w:lang w:eastAsia="en-US"/>
              </w:rPr>
              <w:t>1</w:t>
            </w:r>
            <w:r w:rsidR="00952870" w:rsidRPr="0088338F">
              <w:rPr>
                <w:rFonts w:ascii="Arial" w:hAnsi="Arial" w:cs="Arial"/>
                <w:b/>
                <w:bCs/>
                <w:sz w:val="20"/>
                <w:szCs w:val="20"/>
                <w:lang w:eastAsia="en-US"/>
              </w:rPr>
              <w:t>6</w:t>
            </w:r>
            <w:r w:rsidRPr="0088338F">
              <w:rPr>
                <w:rFonts w:ascii="Arial" w:hAnsi="Arial" w:cs="Arial"/>
                <w:b/>
                <w:bCs/>
                <w:sz w:val="20"/>
                <w:szCs w:val="20"/>
                <w:lang w:eastAsia="en-US"/>
              </w:rPr>
              <w:br/>
              <w:t xml:space="preserve">tis. </w:t>
            </w:r>
            <w:r w:rsidR="00E00020" w:rsidRPr="0088338F">
              <w:rPr>
                <w:rFonts w:ascii="Arial" w:hAnsi="Arial" w:cs="Arial"/>
                <w:b/>
                <w:bCs/>
                <w:sz w:val="20"/>
                <w:szCs w:val="20"/>
                <w:lang w:eastAsia="en-US"/>
              </w:rPr>
              <w:t>EUR</w:t>
            </w:r>
          </w:p>
        </w:tc>
        <w:tc>
          <w:tcPr>
            <w:tcW w:w="1537" w:type="dxa"/>
            <w:tcBorders>
              <w:top w:val="single" w:sz="12" w:space="0" w:color="auto"/>
              <w:left w:val="nil"/>
              <w:bottom w:val="single" w:sz="4" w:space="0" w:color="auto"/>
              <w:right w:val="single" w:sz="4" w:space="0" w:color="FFFFFF"/>
            </w:tcBorders>
            <w:shd w:val="clear" w:color="auto" w:fill="auto"/>
            <w:vAlign w:val="bottom"/>
          </w:tcPr>
          <w:p w14:paraId="47E726CF" w14:textId="697E37C3" w:rsidR="008D486F" w:rsidRPr="0088338F" w:rsidRDefault="008D486F" w:rsidP="00D7014B">
            <w:pPr>
              <w:jc w:val="right"/>
              <w:rPr>
                <w:rFonts w:ascii="Arial" w:hAnsi="Arial" w:cs="Arial"/>
                <w:b/>
                <w:bCs/>
                <w:sz w:val="20"/>
                <w:szCs w:val="20"/>
                <w:lang w:eastAsia="en-US"/>
              </w:rPr>
            </w:pPr>
            <w:r w:rsidRPr="0088338F">
              <w:rPr>
                <w:rFonts w:ascii="Arial" w:hAnsi="Arial" w:cs="Arial"/>
                <w:b/>
                <w:bCs/>
                <w:sz w:val="20"/>
                <w:szCs w:val="20"/>
                <w:lang w:eastAsia="en-US"/>
              </w:rPr>
              <w:t>20</w:t>
            </w:r>
            <w:r w:rsidR="002B5A2E" w:rsidRPr="0088338F">
              <w:rPr>
                <w:rFonts w:ascii="Arial" w:hAnsi="Arial" w:cs="Arial"/>
                <w:b/>
                <w:bCs/>
                <w:sz w:val="20"/>
                <w:szCs w:val="20"/>
                <w:lang w:eastAsia="en-US"/>
              </w:rPr>
              <w:t>1</w:t>
            </w:r>
            <w:r w:rsidR="00952870" w:rsidRPr="0088338F">
              <w:rPr>
                <w:rFonts w:ascii="Arial" w:hAnsi="Arial" w:cs="Arial"/>
                <w:b/>
                <w:bCs/>
                <w:sz w:val="20"/>
                <w:szCs w:val="20"/>
                <w:lang w:eastAsia="en-US"/>
              </w:rPr>
              <w:t>5</w:t>
            </w:r>
            <w:r w:rsidRPr="0088338F">
              <w:rPr>
                <w:rFonts w:ascii="Arial" w:hAnsi="Arial" w:cs="Arial"/>
                <w:b/>
                <w:bCs/>
                <w:sz w:val="20"/>
                <w:szCs w:val="20"/>
                <w:lang w:eastAsia="en-US"/>
              </w:rPr>
              <w:br/>
              <w:t xml:space="preserve">tis. </w:t>
            </w:r>
            <w:r w:rsidR="00E00020" w:rsidRPr="0088338F">
              <w:rPr>
                <w:rFonts w:ascii="Arial" w:hAnsi="Arial" w:cs="Arial"/>
                <w:b/>
                <w:bCs/>
                <w:sz w:val="20"/>
                <w:szCs w:val="20"/>
                <w:lang w:eastAsia="en-US"/>
              </w:rPr>
              <w:t>EUR</w:t>
            </w:r>
          </w:p>
        </w:tc>
      </w:tr>
      <w:tr w:rsidR="008D486F" w:rsidRPr="0088338F" w14:paraId="3809BC79"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7221D01F" w14:textId="77777777" w:rsidR="008D486F" w:rsidRPr="0088338F" w:rsidRDefault="008D486F" w:rsidP="00831995">
            <w:pPr>
              <w:rPr>
                <w:rFonts w:ascii="Arial" w:hAnsi="Arial" w:cs="Arial"/>
                <w:sz w:val="20"/>
                <w:szCs w:val="20"/>
                <w:lang w:eastAsia="en-US"/>
              </w:rPr>
            </w:pPr>
            <w:r w:rsidRPr="0088338F">
              <w:rPr>
                <w:rFonts w:ascii="Arial" w:hAnsi="Arial" w:cs="Arial"/>
                <w:sz w:val="20"/>
                <w:szCs w:val="20"/>
                <w:lang w:eastAsia="en-US"/>
              </w:rPr>
              <w:t> </w:t>
            </w:r>
          </w:p>
        </w:tc>
        <w:tc>
          <w:tcPr>
            <w:tcW w:w="922" w:type="dxa"/>
            <w:tcBorders>
              <w:top w:val="nil"/>
              <w:left w:val="nil"/>
              <w:bottom w:val="single" w:sz="4" w:space="0" w:color="FFFFFF"/>
              <w:right w:val="single" w:sz="4" w:space="0" w:color="FFFFFF"/>
            </w:tcBorders>
            <w:shd w:val="clear" w:color="auto" w:fill="auto"/>
            <w:noWrap/>
            <w:vAlign w:val="bottom"/>
          </w:tcPr>
          <w:p w14:paraId="163A2EA6" w14:textId="77777777" w:rsidR="008D486F" w:rsidRPr="0088338F" w:rsidRDefault="008D486F" w:rsidP="0069708B">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511C53AC" w14:textId="77777777" w:rsidR="008D486F" w:rsidRPr="0088338F" w:rsidRDefault="008D486F" w:rsidP="00A45FE4">
            <w:pPr>
              <w:jc w:val="right"/>
              <w:rPr>
                <w:rFonts w:ascii="Arial" w:hAnsi="Arial" w:cs="Arial"/>
                <w:sz w:val="20"/>
                <w:szCs w:val="20"/>
                <w:lang w:eastAsia="en-US"/>
              </w:rPr>
            </w:pPr>
            <w:r w:rsidRPr="0088338F">
              <w:rPr>
                <w:rFonts w:ascii="Arial" w:hAnsi="Arial" w:cs="Arial"/>
                <w:sz w:val="20"/>
                <w:szCs w:val="20"/>
                <w:lang w:eastAsia="en-US"/>
              </w:rPr>
              <w:t> </w:t>
            </w:r>
          </w:p>
        </w:tc>
        <w:tc>
          <w:tcPr>
            <w:tcW w:w="1537" w:type="dxa"/>
            <w:tcBorders>
              <w:top w:val="nil"/>
              <w:left w:val="nil"/>
              <w:bottom w:val="single" w:sz="4" w:space="0" w:color="FFFFFF"/>
              <w:right w:val="single" w:sz="4" w:space="0" w:color="FFFFFF"/>
            </w:tcBorders>
            <w:shd w:val="clear" w:color="auto" w:fill="auto"/>
            <w:noWrap/>
            <w:vAlign w:val="bottom"/>
          </w:tcPr>
          <w:p w14:paraId="46C2BE42" w14:textId="77777777" w:rsidR="008D486F" w:rsidRPr="0088338F" w:rsidRDefault="008D486F" w:rsidP="00A45FE4">
            <w:pPr>
              <w:jc w:val="right"/>
              <w:rPr>
                <w:rFonts w:ascii="Arial" w:hAnsi="Arial" w:cs="Arial"/>
                <w:sz w:val="20"/>
                <w:szCs w:val="20"/>
                <w:lang w:eastAsia="en-US"/>
              </w:rPr>
            </w:pPr>
            <w:r w:rsidRPr="0088338F">
              <w:rPr>
                <w:rFonts w:ascii="Arial" w:hAnsi="Arial" w:cs="Arial"/>
                <w:sz w:val="20"/>
                <w:szCs w:val="20"/>
                <w:lang w:eastAsia="en-US"/>
              </w:rPr>
              <w:t> </w:t>
            </w:r>
          </w:p>
        </w:tc>
      </w:tr>
      <w:tr w:rsidR="008D486F" w:rsidRPr="0088338F" w14:paraId="5C1C33AA" w14:textId="77777777" w:rsidTr="00A45FE4">
        <w:trPr>
          <w:trHeight w:val="300"/>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68904745" w14:textId="77777777" w:rsidR="008D486F" w:rsidRPr="0088338F" w:rsidRDefault="008D486F" w:rsidP="00831995">
            <w:pPr>
              <w:rPr>
                <w:rFonts w:ascii="Arial" w:hAnsi="Arial" w:cs="Arial"/>
                <w:b/>
                <w:bCs/>
                <w:sz w:val="22"/>
                <w:szCs w:val="22"/>
                <w:lang w:eastAsia="en-US"/>
              </w:rPr>
            </w:pPr>
            <w:r w:rsidRPr="0088338F">
              <w:rPr>
                <w:rFonts w:ascii="Arial" w:hAnsi="Arial" w:cs="Arial"/>
                <w:b/>
                <w:bCs/>
                <w:sz w:val="22"/>
                <w:szCs w:val="22"/>
                <w:lang w:eastAsia="en-US"/>
              </w:rPr>
              <w:t>Aktíva</w:t>
            </w:r>
          </w:p>
        </w:tc>
        <w:tc>
          <w:tcPr>
            <w:tcW w:w="922" w:type="dxa"/>
            <w:tcBorders>
              <w:top w:val="nil"/>
              <w:left w:val="nil"/>
              <w:bottom w:val="single" w:sz="4" w:space="0" w:color="FFFFFF"/>
              <w:right w:val="single" w:sz="4" w:space="0" w:color="FFFFFF"/>
            </w:tcBorders>
            <w:shd w:val="clear" w:color="auto" w:fill="auto"/>
            <w:noWrap/>
            <w:vAlign w:val="bottom"/>
          </w:tcPr>
          <w:p w14:paraId="020B0FB1" w14:textId="77777777" w:rsidR="008D486F" w:rsidRPr="0088338F" w:rsidRDefault="008D486F" w:rsidP="0069708B">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7D65A2CF" w14:textId="77777777" w:rsidR="008D486F" w:rsidRPr="0088338F" w:rsidRDefault="008D486F" w:rsidP="00A45FE4">
            <w:pPr>
              <w:jc w:val="right"/>
              <w:rPr>
                <w:rFonts w:ascii="Arial" w:hAnsi="Arial" w:cs="Arial"/>
                <w:sz w:val="20"/>
                <w:szCs w:val="20"/>
                <w:lang w:eastAsia="en-US"/>
              </w:rPr>
            </w:pPr>
            <w:r w:rsidRPr="0088338F">
              <w:rPr>
                <w:rFonts w:ascii="Arial" w:hAnsi="Arial" w:cs="Arial"/>
                <w:sz w:val="20"/>
                <w:szCs w:val="20"/>
                <w:lang w:eastAsia="en-US"/>
              </w:rPr>
              <w:t> </w:t>
            </w:r>
          </w:p>
        </w:tc>
        <w:tc>
          <w:tcPr>
            <w:tcW w:w="1537" w:type="dxa"/>
            <w:tcBorders>
              <w:top w:val="nil"/>
              <w:left w:val="nil"/>
              <w:bottom w:val="single" w:sz="4" w:space="0" w:color="FFFFFF"/>
              <w:right w:val="single" w:sz="4" w:space="0" w:color="FFFFFF"/>
            </w:tcBorders>
            <w:shd w:val="clear" w:color="auto" w:fill="auto"/>
            <w:noWrap/>
            <w:vAlign w:val="bottom"/>
          </w:tcPr>
          <w:p w14:paraId="3F23D12B" w14:textId="77777777" w:rsidR="008D486F" w:rsidRPr="0088338F" w:rsidRDefault="008D486F" w:rsidP="00A45FE4">
            <w:pPr>
              <w:jc w:val="right"/>
              <w:rPr>
                <w:rFonts w:ascii="Arial" w:hAnsi="Arial" w:cs="Arial"/>
                <w:sz w:val="20"/>
                <w:szCs w:val="20"/>
                <w:lang w:eastAsia="en-US"/>
              </w:rPr>
            </w:pPr>
            <w:r w:rsidRPr="0088338F">
              <w:rPr>
                <w:rFonts w:ascii="Arial" w:hAnsi="Arial" w:cs="Arial"/>
                <w:sz w:val="20"/>
                <w:szCs w:val="20"/>
                <w:lang w:eastAsia="en-US"/>
              </w:rPr>
              <w:t> </w:t>
            </w:r>
          </w:p>
        </w:tc>
      </w:tr>
      <w:tr w:rsidR="008D486F" w:rsidRPr="0088338F" w14:paraId="19962850"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40F6E0D1" w14:textId="77777777" w:rsidR="008D486F" w:rsidRPr="0088338F" w:rsidRDefault="008D486F" w:rsidP="00831995">
            <w:pPr>
              <w:rPr>
                <w:rFonts w:ascii="Arial" w:hAnsi="Arial" w:cs="Arial"/>
                <w:sz w:val="20"/>
                <w:szCs w:val="20"/>
                <w:lang w:eastAsia="en-US"/>
              </w:rPr>
            </w:pPr>
            <w:r w:rsidRPr="0088338F">
              <w:rPr>
                <w:rFonts w:ascii="Arial" w:hAnsi="Arial" w:cs="Arial"/>
                <w:sz w:val="20"/>
                <w:szCs w:val="20"/>
                <w:lang w:eastAsia="en-US"/>
              </w:rPr>
              <w:t> </w:t>
            </w:r>
          </w:p>
        </w:tc>
        <w:tc>
          <w:tcPr>
            <w:tcW w:w="922" w:type="dxa"/>
            <w:tcBorders>
              <w:top w:val="nil"/>
              <w:left w:val="nil"/>
              <w:bottom w:val="single" w:sz="4" w:space="0" w:color="FFFFFF"/>
              <w:right w:val="single" w:sz="4" w:space="0" w:color="FFFFFF"/>
            </w:tcBorders>
            <w:shd w:val="clear" w:color="auto" w:fill="auto"/>
            <w:noWrap/>
            <w:vAlign w:val="bottom"/>
          </w:tcPr>
          <w:p w14:paraId="5A1B8685" w14:textId="77777777" w:rsidR="008D486F" w:rsidRPr="0088338F" w:rsidRDefault="008D486F" w:rsidP="0069708B">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6D0478ED" w14:textId="77777777" w:rsidR="008D486F" w:rsidRPr="0088338F" w:rsidRDefault="008D486F" w:rsidP="00A45FE4">
            <w:pPr>
              <w:jc w:val="right"/>
              <w:rPr>
                <w:rFonts w:ascii="Arial" w:hAnsi="Arial" w:cs="Arial"/>
                <w:sz w:val="20"/>
                <w:szCs w:val="20"/>
                <w:lang w:eastAsia="en-US"/>
              </w:rPr>
            </w:pPr>
            <w:r w:rsidRPr="0088338F">
              <w:rPr>
                <w:rFonts w:ascii="Arial" w:hAnsi="Arial" w:cs="Arial"/>
                <w:sz w:val="20"/>
                <w:szCs w:val="20"/>
                <w:lang w:eastAsia="en-US"/>
              </w:rPr>
              <w:t> </w:t>
            </w:r>
          </w:p>
        </w:tc>
        <w:tc>
          <w:tcPr>
            <w:tcW w:w="1537" w:type="dxa"/>
            <w:tcBorders>
              <w:top w:val="nil"/>
              <w:left w:val="nil"/>
              <w:bottom w:val="single" w:sz="4" w:space="0" w:color="FFFFFF"/>
              <w:right w:val="single" w:sz="4" w:space="0" w:color="FFFFFF"/>
            </w:tcBorders>
            <w:shd w:val="clear" w:color="auto" w:fill="auto"/>
            <w:noWrap/>
            <w:vAlign w:val="bottom"/>
          </w:tcPr>
          <w:p w14:paraId="5FA0096B" w14:textId="77777777" w:rsidR="008D486F" w:rsidRPr="0088338F" w:rsidRDefault="008D486F" w:rsidP="00A45FE4">
            <w:pPr>
              <w:jc w:val="right"/>
              <w:rPr>
                <w:rFonts w:ascii="Arial" w:hAnsi="Arial" w:cs="Arial"/>
                <w:sz w:val="20"/>
                <w:szCs w:val="20"/>
                <w:lang w:eastAsia="en-US"/>
              </w:rPr>
            </w:pPr>
            <w:r w:rsidRPr="0088338F">
              <w:rPr>
                <w:rFonts w:ascii="Arial" w:hAnsi="Arial" w:cs="Arial"/>
                <w:sz w:val="20"/>
                <w:szCs w:val="20"/>
                <w:lang w:eastAsia="en-US"/>
              </w:rPr>
              <w:t> </w:t>
            </w:r>
          </w:p>
        </w:tc>
      </w:tr>
      <w:tr w:rsidR="00952870" w:rsidRPr="0088338F" w14:paraId="496E77C0"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309541C1"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Peniaze a pohľadávky voči centrálnym bankám</w:t>
            </w:r>
          </w:p>
        </w:tc>
        <w:tc>
          <w:tcPr>
            <w:tcW w:w="922" w:type="dxa"/>
            <w:tcBorders>
              <w:top w:val="nil"/>
              <w:left w:val="nil"/>
              <w:bottom w:val="single" w:sz="4" w:space="0" w:color="FFFFFF"/>
              <w:right w:val="single" w:sz="4" w:space="0" w:color="FFFFFF"/>
            </w:tcBorders>
            <w:shd w:val="clear" w:color="auto" w:fill="auto"/>
            <w:noWrap/>
            <w:vAlign w:val="bottom"/>
          </w:tcPr>
          <w:p w14:paraId="690867E5"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4.</w:t>
            </w:r>
          </w:p>
        </w:tc>
        <w:tc>
          <w:tcPr>
            <w:tcW w:w="1459" w:type="dxa"/>
            <w:tcBorders>
              <w:top w:val="nil"/>
              <w:left w:val="nil"/>
              <w:bottom w:val="single" w:sz="4" w:space="0" w:color="FFFFFF"/>
              <w:right w:val="single" w:sz="4" w:space="0" w:color="FFFFFF"/>
            </w:tcBorders>
            <w:shd w:val="clear" w:color="auto" w:fill="auto"/>
            <w:noWrap/>
            <w:vAlign w:val="bottom"/>
          </w:tcPr>
          <w:p w14:paraId="0286B3C8" w14:textId="52E9FC5C"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37 698</w:t>
            </w:r>
          </w:p>
        </w:tc>
        <w:tc>
          <w:tcPr>
            <w:tcW w:w="1537" w:type="dxa"/>
            <w:tcBorders>
              <w:top w:val="nil"/>
              <w:left w:val="nil"/>
              <w:bottom w:val="single" w:sz="4" w:space="0" w:color="FFFFFF"/>
              <w:right w:val="single" w:sz="4" w:space="0" w:color="FFFFFF"/>
            </w:tcBorders>
            <w:shd w:val="clear" w:color="auto" w:fill="auto"/>
            <w:noWrap/>
            <w:vAlign w:val="bottom"/>
          </w:tcPr>
          <w:p w14:paraId="04ABAF3D" w14:textId="1D421A95"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30 428</w:t>
            </w:r>
          </w:p>
        </w:tc>
      </w:tr>
      <w:tr w:rsidR="00952870" w:rsidRPr="0088338F" w14:paraId="6B67ABD2"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2DF4E140"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Pohľadávky voči bankám</w:t>
            </w:r>
          </w:p>
        </w:tc>
        <w:tc>
          <w:tcPr>
            <w:tcW w:w="922" w:type="dxa"/>
            <w:tcBorders>
              <w:top w:val="nil"/>
              <w:left w:val="nil"/>
              <w:bottom w:val="single" w:sz="4" w:space="0" w:color="FFFFFF"/>
              <w:right w:val="single" w:sz="4" w:space="0" w:color="FFFFFF"/>
            </w:tcBorders>
            <w:shd w:val="clear" w:color="auto" w:fill="auto"/>
            <w:noWrap/>
            <w:vAlign w:val="bottom"/>
          </w:tcPr>
          <w:p w14:paraId="26721D02"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5.</w:t>
            </w:r>
          </w:p>
        </w:tc>
        <w:tc>
          <w:tcPr>
            <w:tcW w:w="1459" w:type="dxa"/>
            <w:tcBorders>
              <w:top w:val="nil"/>
              <w:left w:val="nil"/>
              <w:bottom w:val="single" w:sz="4" w:space="0" w:color="FFFFFF"/>
              <w:right w:val="single" w:sz="4" w:space="0" w:color="FFFFFF"/>
            </w:tcBorders>
            <w:shd w:val="clear" w:color="auto" w:fill="auto"/>
            <w:noWrap/>
            <w:vAlign w:val="bottom"/>
          </w:tcPr>
          <w:p w14:paraId="02CF9785" w14:textId="75832A63"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11 036</w:t>
            </w:r>
          </w:p>
        </w:tc>
        <w:tc>
          <w:tcPr>
            <w:tcW w:w="1537" w:type="dxa"/>
            <w:tcBorders>
              <w:top w:val="nil"/>
              <w:left w:val="nil"/>
              <w:bottom w:val="single" w:sz="4" w:space="0" w:color="FFFFFF"/>
              <w:right w:val="single" w:sz="4" w:space="0" w:color="FFFFFF"/>
            </w:tcBorders>
            <w:shd w:val="clear" w:color="auto" w:fill="auto"/>
            <w:noWrap/>
            <w:vAlign w:val="bottom"/>
          </w:tcPr>
          <w:p w14:paraId="70F468DC" w14:textId="5A4A0F94"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9 733</w:t>
            </w:r>
          </w:p>
        </w:tc>
      </w:tr>
      <w:tr w:rsidR="00952870" w:rsidRPr="0088338F" w14:paraId="0F413725"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0337776D"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Pohľadávky voči klientom</w:t>
            </w:r>
          </w:p>
        </w:tc>
        <w:tc>
          <w:tcPr>
            <w:tcW w:w="922" w:type="dxa"/>
            <w:tcBorders>
              <w:top w:val="nil"/>
              <w:left w:val="nil"/>
              <w:bottom w:val="single" w:sz="4" w:space="0" w:color="FFFFFF"/>
              <w:right w:val="single" w:sz="4" w:space="0" w:color="FFFFFF"/>
            </w:tcBorders>
            <w:shd w:val="clear" w:color="auto" w:fill="auto"/>
            <w:noWrap/>
            <w:vAlign w:val="bottom"/>
          </w:tcPr>
          <w:p w14:paraId="01ED45E0"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6.</w:t>
            </w:r>
          </w:p>
        </w:tc>
        <w:tc>
          <w:tcPr>
            <w:tcW w:w="1459" w:type="dxa"/>
            <w:tcBorders>
              <w:top w:val="nil"/>
              <w:left w:val="nil"/>
              <w:bottom w:val="single" w:sz="4" w:space="0" w:color="FFFFFF"/>
              <w:right w:val="single" w:sz="4" w:space="0" w:color="FFFFFF"/>
            </w:tcBorders>
            <w:shd w:val="clear" w:color="auto" w:fill="auto"/>
            <w:noWrap/>
            <w:vAlign w:val="bottom"/>
          </w:tcPr>
          <w:p w14:paraId="069E5B7A" w14:textId="43FE176B"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289 178</w:t>
            </w:r>
          </w:p>
        </w:tc>
        <w:tc>
          <w:tcPr>
            <w:tcW w:w="1537" w:type="dxa"/>
            <w:tcBorders>
              <w:top w:val="nil"/>
              <w:left w:val="nil"/>
              <w:bottom w:val="single" w:sz="4" w:space="0" w:color="FFFFFF"/>
              <w:right w:val="single" w:sz="4" w:space="0" w:color="FFFFFF"/>
            </w:tcBorders>
            <w:shd w:val="clear" w:color="auto" w:fill="auto"/>
            <w:noWrap/>
            <w:vAlign w:val="bottom"/>
          </w:tcPr>
          <w:p w14:paraId="04280B2C" w14:textId="6BDB6115"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248 414</w:t>
            </w:r>
          </w:p>
        </w:tc>
      </w:tr>
      <w:tr w:rsidR="00952870" w:rsidRPr="0088338F" w14:paraId="0BFAAA6B"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53ED4DE1"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Cenné papiere k dispozícii na predaj</w:t>
            </w:r>
          </w:p>
        </w:tc>
        <w:tc>
          <w:tcPr>
            <w:tcW w:w="922" w:type="dxa"/>
            <w:tcBorders>
              <w:top w:val="nil"/>
              <w:left w:val="nil"/>
              <w:bottom w:val="single" w:sz="4" w:space="0" w:color="FFFFFF"/>
              <w:right w:val="single" w:sz="4" w:space="0" w:color="FFFFFF"/>
            </w:tcBorders>
            <w:shd w:val="clear" w:color="auto" w:fill="auto"/>
            <w:noWrap/>
            <w:vAlign w:val="bottom"/>
          </w:tcPr>
          <w:p w14:paraId="51D19D97"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8.</w:t>
            </w:r>
          </w:p>
        </w:tc>
        <w:tc>
          <w:tcPr>
            <w:tcW w:w="1459" w:type="dxa"/>
            <w:tcBorders>
              <w:top w:val="nil"/>
              <w:left w:val="nil"/>
              <w:bottom w:val="single" w:sz="4" w:space="0" w:color="FFFFFF"/>
              <w:right w:val="single" w:sz="4" w:space="0" w:color="FFFFFF"/>
            </w:tcBorders>
            <w:shd w:val="clear" w:color="auto" w:fill="auto"/>
            <w:noWrap/>
            <w:vAlign w:val="bottom"/>
          </w:tcPr>
          <w:p w14:paraId="719788A3" w14:textId="05D53CAA"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198 457</w:t>
            </w:r>
          </w:p>
        </w:tc>
        <w:tc>
          <w:tcPr>
            <w:tcW w:w="1537" w:type="dxa"/>
            <w:tcBorders>
              <w:top w:val="nil"/>
              <w:left w:val="nil"/>
              <w:bottom w:val="single" w:sz="4" w:space="0" w:color="FFFFFF"/>
              <w:right w:val="single" w:sz="4" w:space="0" w:color="FFFFFF"/>
            </w:tcBorders>
            <w:shd w:val="clear" w:color="auto" w:fill="auto"/>
            <w:noWrap/>
            <w:vAlign w:val="bottom"/>
          </w:tcPr>
          <w:p w14:paraId="5D61CCCD" w14:textId="57E633D6"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176 186</w:t>
            </w:r>
          </w:p>
        </w:tc>
      </w:tr>
      <w:tr w:rsidR="00952870" w:rsidRPr="0088338F" w14:paraId="220C7DEF" w14:textId="77777777" w:rsidTr="00A45FE4">
        <w:trPr>
          <w:trHeight w:val="510"/>
        </w:trPr>
        <w:tc>
          <w:tcPr>
            <w:tcW w:w="5320" w:type="dxa"/>
            <w:tcBorders>
              <w:top w:val="nil"/>
              <w:left w:val="single" w:sz="4" w:space="0" w:color="FFFFFF"/>
              <w:bottom w:val="single" w:sz="4" w:space="0" w:color="FFFFFF"/>
              <w:right w:val="single" w:sz="4" w:space="0" w:color="FFFFFF"/>
            </w:tcBorders>
            <w:shd w:val="clear" w:color="auto" w:fill="auto"/>
            <w:vAlign w:val="bottom"/>
          </w:tcPr>
          <w:p w14:paraId="2A688B76" w14:textId="77777777" w:rsidR="00952870" w:rsidRPr="0088338F" w:rsidRDefault="00952870" w:rsidP="00560B0A">
            <w:pPr>
              <w:ind w:left="170" w:hanging="170"/>
              <w:rPr>
                <w:rFonts w:ascii="Arial" w:hAnsi="Arial" w:cs="Arial"/>
                <w:sz w:val="20"/>
                <w:szCs w:val="20"/>
                <w:lang w:eastAsia="en-US"/>
              </w:rPr>
            </w:pPr>
            <w:r w:rsidRPr="0088338F">
              <w:rPr>
                <w:rFonts w:ascii="Arial" w:hAnsi="Arial" w:cs="Arial"/>
                <w:sz w:val="20"/>
                <w:szCs w:val="20"/>
                <w:lang w:eastAsia="en-US"/>
              </w:rPr>
              <w:t>Cenné papiere vykazované v reálnych hodnotách</w:t>
            </w:r>
            <w:r w:rsidRPr="0088338F">
              <w:rPr>
                <w:rFonts w:ascii="Arial" w:hAnsi="Arial" w:cs="Arial"/>
                <w:sz w:val="20"/>
                <w:szCs w:val="20"/>
                <w:lang w:eastAsia="en-US"/>
              </w:rPr>
              <w:br/>
              <w:t>cez výsledovku</w:t>
            </w:r>
          </w:p>
        </w:tc>
        <w:tc>
          <w:tcPr>
            <w:tcW w:w="922" w:type="dxa"/>
            <w:tcBorders>
              <w:top w:val="nil"/>
              <w:left w:val="nil"/>
              <w:bottom w:val="single" w:sz="4" w:space="0" w:color="FFFFFF"/>
              <w:right w:val="single" w:sz="4" w:space="0" w:color="FFFFFF"/>
            </w:tcBorders>
            <w:shd w:val="clear" w:color="auto" w:fill="auto"/>
            <w:noWrap/>
            <w:vAlign w:val="bottom"/>
          </w:tcPr>
          <w:p w14:paraId="07BAF760"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9.</w:t>
            </w:r>
          </w:p>
        </w:tc>
        <w:tc>
          <w:tcPr>
            <w:tcW w:w="1459" w:type="dxa"/>
            <w:tcBorders>
              <w:top w:val="nil"/>
              <w:left w:val="nil"/>
              <w:bottom w:val="single" w:sz="4" w:space="0" w:color="FFFFFF"/>
              <w:right w:val="single" w:sz="4" w:space="0" w:color="FFFFFF"/>
            </w:tcBorders>
            <w:shd w:val="clear" w:color="auto" w:fill="auto"/>
            <w:noWrap/>
            <w:vAlign w:val="bottom"/>
          </w:tcPr>
          <w:p w14:paraId="2AB0D89F" w14:textId="60850299"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w:t>
            </w:r>
          </w:p>
        </w:tc>
        <w:tc>
          <w:tcPr>
            <w:tcW w:w="1537" w:type="dxa"/>
            <w:tcBorders>
              <w:top w:val="nil"/>
              <w:left w:val="nil"/>
              <w:bottom w:val="single" w:sz="4" w:space="0" w:color="FFFFFF"/>
              <w:right w:val="single" w:sz="4" w:space="0" w:color="FFFFFF"/>
            </w:tcBorders>
            <w:shd w:val="clear" w:color="auto" w:fill="auto"/>
            <w:noWrap/>
            <w:vAlign w:val="bottom"/>
          </w:tcPr>
          <w:p w14:paraId="5D730ED2" w14:textId="29D56EA3"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273</w:t>
            </w:r>
          </w:p>
        </w:tc>
      </w:tr>
      <w:tr w:rsidR="00952870" w:rsidRPr="0088338F" w14:paraId="72FCA554"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vAlign w:val="bottom"/>
          </w:tcPr>
          <w:p w14:paraId="54480606"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Cenné papiere držané do splatnosti</w:t>
            </w:r>
          </w:p>
        </w:tc>
        <w:tc>
          <w:tcPr>
            <w:tcW w:w="922" w:type="dxa"/>
            <w:tcBorders>
              <w:top w:val="nil"/>
              <w:left w:val="nil"/>
              <w:bottom w:val="single" w:sz="4" w:space="0" w:color="FFFFFF"/>
              <w:right w:val="single" w:sz="4" w:space="0" w:color="FFFFFF"/>
            </w:tcBorders>
            <w:shd w:val="clear" w:color="auto" w:fill="auto"/>
            <w:noWrap/>
            <w:vAlign w:val="bottom"/>
          </w:tcPr>
          <w:p w14:paraId="6A1C09F7"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10.</w:t>
            </w:r>
          </w:p>
        </w:tc>
        <w:tc>
          <w:tcPr>
            <w:tcW w:w="1459" w:type="dxa"/>
            <w:tcBorders>
              <w:top w:val="nil"/>
              <w:left w:val="nil"/>
              <w:bottom w:val="single" w:sz="4" w:space="0" w:color="FFFFFF"/>
              <w:right w:val="single" w:sz="4" w:space="0" w:color="FFFFFF"/>
            </w:tcBorders>
            <w:shd w:val="clear" w:color="auto" w:fill="auto"/>
            <w:noWrap/>
            <w:vAlign w:val="bottom"/>
          </w:tcPr>
          <w:p w14:paraId="50B73740" w14:textId="69C1944D"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78 209</w:t>
            </w:r>
          </w:p>
        </w:tc>
        <w:tc>
          <w:tcPr>
            <w:tcW w:w="1537" w:type="dxa"/>
            <w:tcBorders>
              <w:top w:val="nil"/>
              <w:left w:val="nil"/>
              <w:bottom w:val="single" w:sz="4" w:space="0" w:color="FFFFFF"/>
              <w:right w:val="single" w:sz="4" w:space="0" w:color="FFFFFF"/>
            </w:tcBorders>
            <w:shd w:val="clear" w:color="auto" w:fill="auto"/>
            <w:noWrap/>
            <w:vAlign w:val="bottom"/>
          </w:tcPr>
          <w:p w14:paraId="1FCF6905" w14:textId="7D0CB255"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127 468</w:t>
            </w:r>
          </w:p>
        </w:tc>
      </w:tr>
      <w:tr w:rsidR="00952870" w:rsidRPr="0088338F" w14:paraId="14878029"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vAlign w:val="bottom"/>
          </w:tcPr>
          <w:p w14:paraId="615F706A"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Investície v dcérskych spoločnostiach</w:t>
            </w:r>
          </w:p>
        </w:tc>
        <w:tc>
          <w:tcPr>
            <w:tcW w:w="922" w:type="dxa"/>
            <w:tcBorders>
              <w:top w:val="nil"/>
              <w:left w:val="nil"/>
              <w:bottom w:val="single" w:sz="4" w:space="0" w:color="FFFFFF"/>
              <w:right w:val="single" w:sz="4" w:space="0" w:color="FFFFFF"/>
            </w:tcBorders>
            <w:shd w:val="clear" w:color="auto" w:fill="auto"/>
            <w:noWrap/>
            <w:vAlign w:val="bottom"/>
          </w:tcPr>
          <w:p w14:paraId="256877BD"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11.</w:t>
            </w:r>
          </w:p>
        </w:tc>
        <w:tc>
          <w:tcPr>
            <w:tcW w:w="1459" w:type="dxa"/>
            <w:tcBorders>
              <w:top w:val="nil"/>
              <w:left w:val="nil"/>
              <w:bottom w:val="single" w:sz="4" w:space="0" w:color="FFFFFF"/>
              <w:right w:val="single" w:sz="4" w:space="0" w:color="FFFFFF"/>
            </w:tcBorders>
            <w:shd w:val="clear" w:color="auto" w:fill="auto"/>
            <w:noWrap/>
            <w:vAlign w:val="bottom"/>
          </w:tcPr>
          <w:p w14:paraId="33C65059" w14:textId="42633D51"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7</w:t>
            </w:r>
          </w:p>
        </w:tc>
        <w:tc>
          <w:tcPr>
            <w:tcW w:w="1537" w:type="dxa"/>
            <w:tcBorders>
              <w:top w:val="nil"/>
              <w:left w:val="nil"/>
              <w:bottom w:val="single" w:sz="4" w:space="0" w:color="FFFFFF"/>
              <w:right w:val="single" w:sz="4" w:space="0" w:color="FFFFFF"/>
            </w:tcBorders>
            <w:shd w:val="clear" w:color="auto" w:fill="auto"/>
            <w:noWrap/>
            <w:vAlign w:val="bottom"/>
          </w:tcPr>
          <w:p w14:paraId="5A053322" w14:textId="20BFAF0D"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7</w:t>
            </w:r>
          </w:p>
        </w:tc>
      </w:tr>
      <w:tr w:rsidR="00952870" w:rsidRPr="0088338F" w14:paraId="793B71AA"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2D4C7272"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Hmotný a nehmotný majetok</w:t>
            </w:r>
          </w:p>
        </w:tc>
        <w:tc>
          <w:tcPr>
            <w:tcW w:w="922" w:type="dxa"/>
            <w:tcBorders>
              <w:top w:val="nil"/>
              <w:left w:val="nil"/>
              <w:bottom w:val="single" w:sz="4" w:space="0" w:color="FFFFFF"/>
              <w:right w:val="single" w:sz="4" w:space="0" w:color="FFFFFF"/>
            </w:tcBorders>
            <w:shd w:val="clear" w:color="auto" w:fill="auto"/>
            <w:noWrap/>
            <w:vAlign w:val="bottom"/>
          </w:tcPr>
          <w:p w14:paraId="68CF592D"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12.</w:t>
            </w:r>
          </w:p>
        </w:tc>
        <w:tc>
          <w:tcPr>
            <w:tcW w:w="1459" w:type="dxa"/>
            <w:tcBorders>
              <w:top w:val="nil"/>
              <w:left w:val="nil"/>
              <w:bottom w:val="single" w:sz="4" w:space="0" w:color="FFFFFF"/>
              <w:right w:val="single" w:sz="4" w:space="0" w:color="FFFFFF"/>
            </w:tcBorders>
            <w:shd w:val="clear" w:color="auto" w:fill="auto"/>
            <w:noWrap/>
            <w:vAlign w:val="bottom"/>
          </w:tcPr>
          <w:p w14:paraId="759D0469" w14:textId="7434231D"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1 177</w:t>
            </w:r>
          </w:p>
        </w:tc>
        <w:tc>
          <w:tcPr>
            <w:tcW w:w="1537" w:type="dxa"/>
            <w:tcBorders>
              <w:top w:val="nil"/>
              <w:left w:val="nil"/>
              <w:bottom w:val="single" w:sz="4" w:space="0" w:color="FFFFFF"/>
              <w:right w:val="single" w:sz="4" w:space="0" w:color="FFFFFF"/>
            </w:tcBorders>
            <w:shd w:val="clear" w:color="auto" w:fill="auto"/>
            <w:noWrap/>
            <w:vAlign w:val="bottom"/>
          </w:tcPr>
          <w:p w14:paraId="23BF3405" w14:textId="6BC33CE6"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1 175</w:t>
            </w:r>
          </w:p>
        </w:tc>
      </w:tr>
      <w:tr w:rsidR="00952870" w:rsidRPr="0088338F" w14:paraId="0EDBE2CE"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78847C64"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Preddavky na daň</w:t>
            </w:r>
          </w:p>
        </w:tc>
        <w:tc>
          <w:tcPr>
            <w:tcW w:w="922" w:type="dxa"/>
            <w:tcBorders>
              <w:top w:val="nil"/>
              <w:left w:val="nil"/>
              <w:bottom w:val="single" w:sz="4" w:space="0" w:color="FFFFFF"/>
              <w:right w:val="single" w:sz="4" w:space="0" w:color="FFFFFF"/>
            </w:tcBorders>
            <w:shd w:val="clear" w:color="auto" w:fill="auto"/>
            <w:noWrap/>
            <w:vAlign w:val="bottom"/>
          </w:tcPr>
          <w:p w14:paraId="0DA50F6D"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13.</w:t>
            </w:r>
          </w:p>
        </w:tc>
        <w:tc>
          <w:tcPr>
            <w:tcW w:w="1459" w:type="dxa"/>
            <w:tcBorders>
              <w:top w:val="nil"/>
              <w:left w:val="nil"/>
              <w:bottom w:val="single" w:sz="4" w:space="0" w:color="FFFFFF"/>
              <w:right w:val="single" w:sz="4" w:space="0" w:color="FFFFFF"/>
            </w:tcBorders>
            <w:shd w:val="clear" w:color="auto" w:fill="auto"/>
            <w:noWrap/>
            <w:vAlign w:val="bottom"/>
          </w:tcPr>
          <w:p w14:paraId="104D8F42" w14:textId="0F3415CF"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118</w:t>
            </w:r>
          </w:p>
        </w:tc>
        <w:tc>
          <w:tcPr>
            <w:tcW w:w="1537" w:type="dxa"/>
            <w:tcBorders>
              <w:top w:val="nil"/>
              <w:left w:val="nil"/>
              <w:bottom w:val="single" w:sz="4" w:space="0" w:color="FFFFFF"/>
              <w:right w:val="single" w:sz="4" w:space="0" w:color="FFFFFF"/>
            </w:tcBorders>
            <w:shd w:val="clear" w:color="auto" w:fill="auto"/>
            <w:noWrap/>
            <w:vAlign w:val="bottom"/>
          </w:tcPr>
          <w:p w14:paraId="0A7D9578" w14:textId="07F65A44"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90</w:t>
            </w:r>
          </w:p>
        </w:tc>
      </w:tr>
      <w:tr w:rsidR="00952870" w:rsidRPr="0088338F" w14:paraId="3DC22448"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2498B3E2"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Ostatné aktíva</w:t>
            </w:r>
          </w:p>
        </w:tc>
        <w:tc>
          <w:tcPr>
            <w:tcW w:w="922" w:type="dxa"/>
            <w:tcBorders>
              <w:top w:val="nil"/>
              <w:left w:val="nil"/>
              <w:bottom w:val="single" w:sz="4" w:space="0" w:color="FFFFFF"/>
              <w:right w:val="single" w:sz="4" w:space="0" w:color="FFFFFF"/>
            </w:tcBorders>
            <w:shd w:val="clear" w:color="auto" w:fill="auto"/>
            <w:noWrap/>
            <w:vAlign w:val="bottom"/>
          </w:tcPr>
          <w:p w14:paraId="11399DAD" w14:textId="77777777" w:rsidR="00952870" w:rsidRPr="0088338F" w:rsidRDefault="00952870" w:rsidP="00B7100D">
            <w:pPr>
              <w:jc w:val="right"/>
              <w:rPr>
                <w:rFonts w:ascii="Arial" w:hAnsi="Arial" w:cs="Arial"/>
                <w:sz w:val="20"/>
                <w:szCs w:val="20"/>
                <w:lang w:eastAsia="en-US"/>
              </w:rPr>
            </w:pPr>
            <w:r w:rsidRPr="0088338F">
              <w:rPr>
                <w:rFonts w:ascii="Arial" w:hAnsi="Arial" w:cs="Arial"/>
                <w:sz w:val="20"/>
                <w:szCs w:val="20"/>
                <w:lang w:eastAsia="en-US"/>
              </w:rPr>
              <w:t>14.</w:t>
            </w:r>
          </w:p>
        </w:tc>
        <w:tc>
          <w:tcPr>
            <w:tcW w:w="1459" w:type="dxa"/>
            <w:tcBorders>
              <w:top w:val="nil"/>
              <w:left w:val="nil"/>
              <w:bottom w:val="single" w:sz="4" w:space="0" w:color="FFFFFF"/>
              <w:right w:val="single" w:sz="4" w:space="0" w:color="FFFFFF"/>
            </w:tcBorders>
            <w:shd w:val="clear" w:color="auto" w:fill="auto"/>
            <w:noWrap/>
            <w:vAlign w:val="bottom"/>
          </w:tcPr>
          <w:p w14:paraId="6A62AEA4" w14:textId="5C356CDB"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2 800</w:t>
            </w:r>
          </w:p>
        </w:tc>
        <w:tc>
          <w:tcPr>
            <w:tcW w:w="1537" w:type="dxa"/>
            <w:tcBorders>
              <w:top w:val="nil"/>
              <w:left w:val="nil"/>
              <w:bottom w:val="single" w:sz="4" w:space="0" w:color="FFFFFF"/>
              <w:right w:val="single" w:sz="4" w:space="0" w:color="FFFFFF"/>
            </w:tcBorders>
            <w:shd w:val="clear" w:color="auto" w:fill="auto"/>
            <w:noWrap/>
            <w:vAlign w:val="bottom"/>
          </w:tcPr>
          <w:p w14:paraId="66D2BDA4" w14:textId="1ED3579E"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1 492</w:t>
            </w:r>
          </w:p>
        </w:tc>
      </w:tr>
      <w:tr w:rsidR="00952870" w:rsidRPr="0088338F" w14:paraId="4C21A3C1"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5BF6A09E"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 </w:t>
            </w:r>
          </w:p>
        </w:tc>
        <w:tc>
          <w:tcPr>
            <w:tcW w:w="922" w:type="dxa"/>
            <w:tcBorders>
              <w:top w:val="nil"/>
              <w:left w:val="nil"/>
              <w:bottom w:val="single" w:sz="4" w:space="0" w:color="FFFFFF"/>
              <w:right w:val="single" w:sz="4" w:space="0" w:color="FFFFFF"/>
            </w:tcBorders>
            <w:shd w:val="clear" w:color="auto" w:fill="auto"/>
            <w:noWrap/>
            <w:vAlign w:val="bottom"/>
          </w:tcPr>
          <w:p w14:paraId="1F7CABA9" w14:textId="77777777" w:rsidR="00952870" w:rsidRPr="0088338F" w:rsidRDefault="00952870" w:rsidP="00614F3F">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0CD23935" w14:textId="77777777" w:rsidR="00952870" w:rsidRPr="0088338F" w:rsidRDefault="00952870" w:rsidP="00A45FE4">
            <w:pPr>
              <w:jc w:val="right"/>
              <w:rPr>
                <w:rFonts w:ascii="Arial" w:hAnsi="Arial" w:cs="Arial"/>
                <w:sz w:val="20"/>
                <w:szCs w:val="20"/>
                <w:lang w:eastAsia="en-US"/>
              </w:rPr>
            </w:pPr>
          </w:p>
        </w:tc>
        <w:tc>
          <w:tcPr>
            <w:tcW w:w="1537" w:type="dxa"/>
            <w:tcBorders>
              <w:top w:val="nil"/>
              <w:left w:val="nil"/>
              <w:bottom w:val="single" w:sz="4" w:space="0" w:color="FFFFFF"/>
              <w:right w:val="single" w:sz="4" w:space="0" w:color="FFFFFF"/>
            </w:tcBorders>
            <w:shd w:val="clear" w:color="auto" w:fill="auto"/>
            <w:noWrap/>
            <w:vAlign w:val="bottom"/>
          </w:tcPr>
          <w:p w14:paraId="77E94C50" w14:textId="77777777" w:rsidR="00952870" w:rsidRPr="0088338F" w:rsidRDefault="00952870" w:rsidP="00A45FE4">
            <w:pPr>
              <w:jc w:val="right"/>
              <w:rPr>
                <w:rFonts w:ascii="Arial" w:hAnsi="Arial" w:cs="Arial"/>
                <w:sz w:val="20"/>
                <w:szCs w:val="20"/>
                <w:lang w:eastAsia="en-US"/>
              </w:rPr>
            </w:pPr>
          </w:p>
        </w:tc>
      </w:tr>
      <w:tr w:rsidR="00952870" w:rsidRPr="0088338F" w14:paraId="13CA373B" w14:textId="77777777" w:rsidTr="00A45FE4">
        <w:trPr>
          <w:trHeight w:val="300"/>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41940558" w14:textId="77777777" w:rsidR="00952870" w:rsidRPr="0088338F" w:rsidRDefault="00952870" w:rsidP="00831995">
            <w:pPr>
              <w:rPr>
                <w:rFonts w:ascii="Arial" w:hAnsi="Arial" w:cs="Arial"/>
                <w:b/>
                <w:bCs/>
                <w:sz w:val="22"/>
                <w:szCs w:val="22"/>
                <w:lang w:eastAsia="en-US"/>
              </w:rPr>
            </w:pPr>
            <w:r w:rsidRPr="0088338F">
              <w:rPr>
                <w:rFonts w:ascii="Arial" w:hAnsi="Arial" w:cs="Arial"/>
                <w:b/>
                <w:bCs/>
                <w:sz w:val="22"/>
                <w:szCs w:val="22"/>
                <w:lang w:eastAsia="en-US"/>
              </w:rPr>
              <w:t>Aktíva celkom</w:t>
            </w:r>
          </w:p>
        </w:tc>
        <w:tc>
          <w:tcPr>
            <w:tcW w:w="922" w:type="dxa"/>
            <w:tcBorders>
              <w:top w:val="nil"/>
              <w:left w:val="nil"/>
              <w:bottom w:val="single" w:sz="4" w:space="0" w:color="FFFFFF"/>
              <w:right w:val="single" w:sz="4" w:space="0" w:color="FFFFFF"/>
            </w:tcBorders>
            <w:shd w:val="clear" w:color="auto" w:fill="auto"/>
            <w:noWrap/>
            <w:vAlign w:val="bottom"/>
          </w:tcPr>
          <w:p w14:paraId="669DDFD3" w14:textId="77777777" w:rsidR="00952870" w:rsidRPr="0088338F" w:rsidRDefault="00952870" w:rsidP="00614F3F">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51A0A035" w14:textId="089DF26A" w:rsidR="00952870" w:rsidRPr="0088338F" w:rsidRDefault="00A51166" w:rsidP="00A45FE4">
            <w:pPr>
              <w:jc w:val="right"/>
              <w:rPr>
                <w:rFonts w:ascii="Arial" w:hAnsi="Arial" w:cs="Arial"/>
                <w:b/>
                <w:bCs/>
                <w:sz w:val="22"/>
                <w:szCs w:val="22"/>
                <w:lang w:eastAsia="en-US"/>
              </w:rPr>
            </w:pPr>
            <w:r w:rsidRPr="0088338F">
              <w:rPr>
                <w:rFonts w:ascii="Arial" w:hAnsi="Arial" w:cs="Arial"/>
                <w:b/>
                <w:bCs/>
                <w:sz w:val="22"/>
                <w:szCs w:val="22"/>
                <w:lang w:eastAsia="en-US"/>
              </w:rPr>
              <w:t>618 680</w:t>
            </w:r>
          </w:p>
        </w:tc>
        <w:tc>
          <w:tcPr>
            <w:tcW w:w="1537" w:type="dxa"/>
            <w:tcBorders>
              <w:top w:val="nil"/>
              <w:left w:val="nil"/>
              <w:bottom w:val="single" w:sz="4" w:space="0" w:color="FFFFFF"/>
              <w:right w:val="single" w:sz="4" w:space="0" w:color="FFFFFF"/>
            </w:tcBorders>
            <w:shd w:val="clear" w:color="auto" w:fill="auto"/>
            <w:noWrap/>
            <w:vAlign w:val="bottom"/>
          </w:tcPr>
          <w:p w14:paraId="1A2EE314" w14:textId="05AF456F" w:rsidR="00952870" w:rsidRPr="0088338F" w:rsidRDefault="00952870" w:rsidP="00A45FE4">
            <w:pPr>
              <w:jc w:val="right"/>
              <w:rPr>
                <w:rFonts w:ascii="Arial" w:hAnsi="Arial" w:cs="Arial"/>
                <w:b/>
                <w:bCs/>
                <w:sz w:val="22"/>
                <w:szCs w:val="22"/>
                <w:lang w:eastAsia="en-US"/>
              </w:rPr>
            </w:pPr>
            <w:r w:rsidRPr="0088338F">
              <w:rPr>
                <w:rFonts w:ascii="Arial" w:hAnsi="Arial" w:cs="Arial"/>
                <w:b/>
                <w:bCs/>
                <w:sz w:val="22"/>
                <w:szCs w:val="22"/>
                <w:lang w:eastAsia="en-US"/>
              </w:rPr>
              <w:t>595 266</w:t>
            </w:r>
          </w:p>
        </w:tc>
      </w:tr>
      <w:tr w:rsidR="00952870" w:rsidRPr="0088338F" w14:paraId="2B372D10"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4FB5986A"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 </w:t>
            </w:r>
          </w:p>
        </w:tc>
        <w:tc>
          <w:tcPr>
            <w:tcW w:w="922" w:type="dxa"/>
            <w:tcBorders>
              <w:top w:val="nil"/>
              <w:left w:val="nil"/>
              <w:bottom w:val="single" w:sz="4" w:space="0" w:color="FFFFFF"/>
              <w:right w:val="single" w:sz="4" w:space="0" w:color="FFFFFF"/>
            </w:tcBorders>
            <w:shd w:val="clear" w:color="auto" w:fill="auto"/>
            <w:noWrap/>
            <w:vAlign w:val="bottom"/>
          </w:tcPr>
          <w:p w14:paraId="04A50D60" w14:textId="77777777" w:rsidR="00952870" w:rsidRPr="0088338F" w:rsidRDefault="00952870" w:rsidP="00614F3F">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4AFEE0CF" w14:textId="77777777" w:rsidR="00952870" w:rsidRPr="0088338F" w:rsidRDefault="00952870" w:rsidP="00A45FE4">
            <w:pPr>
              <w:jc w:val="right"/>
              <w:rPr>
                <w:rFonts w:ascii="Arial" w:hAnsi="Arial" w:cs="Arial"/>
                <w:sz w:val="20"/>
                <w:szCs w:val="20"/>
                <w:lang w:eastAsia="en-US"/>
              </w:rPr>
            </w:pPr>
          </w:p>
        </w:tc>
        <w:tc>
          <w:tcPr>
            <w:tcW w:w="1537" w:type="dxa"/>
            <w:tcBorders>
              <w:top w:val="nil"/>
              <w:left w:val="nil"/>
              <w:bottom w:val="single" w:sz="4" w:space="0" w:color="FFFFFF"/>
              <w:right w:val="single" w:sz="4" w:space="0" w:color="FFFFFF"/>
            </w:tcBorders>
            <w:shd w:val="clear" w:color="auto" w:fill="auto"/>
            <w:noWrap/>
            <w:vAlign w:val="bottom"/>
          </w:tcPr>
          <w:p w14:paraId="2F03433C" w14:textId="77777777" w:rsidR="00952870" w:rsidRPr="0088338F" w:rsidRDefault="00952870" w:rsidP="00A45FE4">
            <w:pPr>
              <w:jc w:val="right"/>
              <w:rPr>
                <w:rFonts w:ascii="Arial" w:hAnsi="Arial" w:cs="Arial"/>
                <w:sz w:val="20"/>
                <w:szCs w:val="20"/>
                <w:lang w:eastAsia="en-US"/>
              </w:rPr>
            </w:pPr>
          </w:p>
        </w:tc>
      </w:tr>
      <w:tr w:rsidR="00952870" w:rsidRPr="0088338F" w14:paraId="0B1B38BF" w14:textId="77777777" w:rsidTr="00A45FE4">
        <w:trPr>
          <w:trHeight w:val="300"/>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7EC89799" w14:textId="77777777" w:rsidR="00952870" w:rsidRPr="0088338F" w:rsidRDefault="00952870" w:rsidP="00831995">
            <w:pPr>
              <w:rPr>
                <w:rFonts w:ascii="Arial" w:hAnsi="Arial" w:cs="Arial"/>
                <w:b/>
                <w:bCs/>
                <w:sz w:val="22"/>
                <w:szCs w:val="22"/>
                <w:lang w:eastAsia="en-US"/>
              </w:rPr>
            </w:pPr>
            <w:r w:rsidRPr="0088338F">
              <w:rPr>
                <w:rFonts w:ascii="Arial" w:hAnsi="Arial" w:cs="Arial"/>
                <w:b/>
                <w:bCs/>
                <w:sz w:val="22"/>
                <w:szCs w:val="22"/>
                <w:lang w:eastAsia="en-US"/>
              </w:rPr>
              <w:t>Záväzky a vlastné imanie</w:t>
            </w:r>
          </w:p>
        </w:tc>
        <w:tc>
          <w:tcPr>
            <w:tcW w:w="922" w:type="dxa"/>
            <w:tcBorders>
              <w:top w:val="nil"/>
              <w:left w:val="nil"/>
              <w:bottom w:val="single" w:sz="4" w:space="0" w:color="FFFFFF"/>
              <w:right w:val="single" w:sz="4" w:space="0" w:color="FFFFFF"/>
            </w:tcBorders>
            <w:shd w:val="clear" w:color="auto" w:fill="auto"/>
            <w:noWrap/>
            <w:vAlign w:val="bottom"/>
          </w:tcPr>
          <w:p w14:paraId="706CD226" w14:textId="77777777" w:rsidR="00952870" w:rsidRPr="0088338F" w:rsidRDefault="00952870" w:rsidP="00614F3F">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19C6E887" w14:textId="77777777" w:rsidR="00952870" w:rsidRPr="0088338F" w:rsidRDefault="00952870" w:rsidP="00A45FE4">
            <w:pPr>
              <w:jc w:val="right"/>
              <w:rPr>
                <w:rFonts w:ascii="Arial" w:hAnsi="Arial" w:cs="Arial"/>
                <w:sz w:val="20"/>
                <w:szCs w:val="20"/>
                <w:lang w:eastAsia="en-US"/>
              </w:rPr>
            </w:pPr>
          </w:p>
        </w:tc>
        <w:tc>
          <w:tcPr>
            <w:tcW w:w="1537" w:type="dxa"/>
            <w:tcBorders>
              <w:top w:val="nil"/>
              <w:left w:val="nil"/>
              <w:bottom w:val="single" w:sz="4" w:space="0" w:color="FFFFFF"/>
              <w:right w:val="single" w:sz="4" w:space="0" w:color="FFFFFF"/>
            </w:tcBorders>
            <w:shd w:val="clear" w:color="auto" w:fill="auto"/>
            <w:noWrap/>
            <w:vAlign w:val="bottom"/>
          </w:tcPr>
          <w:p w14:paraId="7ED34C18" w14:textId="77777777" w:rsidR="00952870" w:rsidRPr="0088338F" w:rsidRDefault="00952870" w:rsidP="00A45FE4">
            <w:pPr>
              <w:jc w:val="right"/>
              <w:rPr>
                <w:rFonts w:ascii="Arial" w:hAnsi="Arial" w:cs="Arial"/>
                <w:sz w:val="20"/>
                <w:szCs w:val="20"/>
                <w:lang w:eastAsia="en-US"/>
              </w:rPr>
            </w:pPr>
          </w:p>
        </w:tc>
      </w:tr>
      <w:tr w:rsidR="00952870" w:rsidRPr="0088338F" w14:paraId="7E724674"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2E5CACF6"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 </w:t>
            </w:r>
          </w:p>
        </w:tc>
        <w:tc>
          <w:tcPr>
            <w:tcW w:w="922" w:type="dxa"/>
            <w:tcBorders>
              <w:top w:val="nil"/>
              <w:left w:val="nil"/>
              <w:bottom w:val="single" w:sz="4" w:space="0" w:color="FFFFFF"/>
              <w:right w:val="single" w:sz="4" w:space="0" w:color="FFFFFF"/>
            </w:tcBorders>
            <w:shd w:val="clear" w:color="auto" w:fill="auto"/>
            <w:noWrap/>
            <w:vAlign w:val="bottom"/>
          </w:tcPr>
          <w:p w14:paraId="34642E56" w14:textId="77777777" w:rsidR="00952870" w:rsidRPr="0088338F" w:rsidRDefault="00952870" w:rsidP="00614F3F">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02527256" w14:textId="77777777" w:rsidR="00952870" w:rsidRPr="0088338F" w:rsidRDefault="00952870" w:rsidP="00A45FE4">
            <w:pPr>
              <w:jc w:val="right"/>
              <w:rPr>
                <w:rFonts w:ascii="Arial" w:hAnsi="Arial" w:cs="Arial"/>
                <w:sz w:val="20"/>
                <w:szCs w:val="20"/>
                <w:lang w:eastAsia="en-US"/>
              </w:rPr>
            </w:pPr>
          </w:p>
        </w:tc>
        <w:tc>
          <w:tcPr>
            <w:tcW w:w="1537" w:type="dxa"/>
            <w:tcBorders>
              <w:top w:val="nil"/>
              <w:left w:val="nil"/>
              <w:bottom w:val="single" w:sz="4" w:space="0" w:color="FFFFFF"/>
              <w:right w:val="single" w:sz="4" w:space="0" w:color="FFFFFF"/>
            </w:tcBorders>
            <w:shd w:val="clear" w:color="auto" w:fill="auto"/>
            <w:noWrap/>
            <w:vAlign w:val="bottom"/>
          </w:tcPr>
          <w:p w14:paraId="2FF8FF98" w14:textId="77777777" w:rsidR="00952870" w:rsidRPr="0088338F" w:rsidRDefault="00952870" w:rsidP="00A45FE4">
            <w:pPr>
              <w:jc w:val="right"/>
              <w:rPr>
                <w:rFonts w:ascii="Arial" w:hAnsi="Arial" w:cs="Arial"/>
                <w:sz w:val="20"/>
                <w:szCs w:val="20"/>
                <w:lang w:eastAsia="en-US"/>
              </w:rPr>
            </w:pPr>
          </w:p>
        </w:tc>
      </w:tr>
      <w:tr w:rsidR="00952870" w:rsidRPr="0088338F" w14:paraId="6D00BA98"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0105D7FD"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Záväzky voči bankám</w:t>
            </w:r>
          </w:p>
        </w:tc>
        <w:tc>
          <w:tcPr>
            <w:tcW w:w="922" w:type="dxa"/>
            <w:tcBorders>
              <w:top w:val="nil"/>
              <w:left w:val="nil"/>
              <w:bottom w:val="single" w:sz="4" w:space="0" w:color="FFFFFF"/>
              <w:right w:val="single" w:sz="4" w:space="0" w:color="FFFFFF"/>
            </w:tcBorders>
            <w:shd w:val="clear" w:color="auto" w:fill="auto"/>
            <w:noWrap/>
            <w:vAlign w:val="bottom"/>
          </w:tcPr>
          <w:p w14:paraId="583BC486" w14:textId="77777777" w:rsidR="00952870" w:rsidRPr="0088338F" w:rsidRDefault="00952870" w:rsidP="00B7100D">
            <w:pPr>
              <w:jc w:val="right"/>
              <w:rPr>
                <w:rFonts w:ascii="Arial" w:hAnsi="Arial" w:cs="Arial"/>
                <w:sz w:val="20"/>
                <w:szCs w:val="20"/>
                <w:lang w:eastAsia="en-US"/>
              </w:rPr>
            </w:pPr>
            <w:r w:rsidRPr="0088338F">
              <w:rPr>
                <w:rFonts w:ascii="Arial" w:hAnsi="Arial" w:cs="Arial"/>
                <w:sz w:val="20"/>
                <w:szCs w:val="20"/>
                <w:lang w:eastAsia="en-US"/>
              </w:rPr>
              <w:t>15.</w:t>
            </w:r>
          </w:p>
        </w:tc>
        <w:tc>
          <w:tcPr>
            <w:tcW w:w="1459" w:type="dxa"/>
            <w:tcBorders>
              <w:top w:val="nil"/>
              <w:left w:val="nil"/>
              <w:bottom w:val="single" w:sz="4" w:space="0" w:color="FFFFFF"/>
              <w:right w:val="single" w:sz="4" w:space="0" w:color="FFFFFF"/>
            </w:tcBorders>
            <w:shd w:val="clear" w:color="auto" w:fill="auto"/>
            <w:noWrap/>
            <w:vAlign w:val="bottom"/>
          </w:tcPr>
          <w:p w14:paraId="07EF2AB1" w14:textId="2E6992B8"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96 212</w:t>
            </w:r>
          </w:p>
        </w:tc>
        <w:tc>
          <w:tcPr>
            <w:tcW w:w="1537" w:type="dxa"/>
            <w:tcBorders>
              <w:top w:val="nil"/>
              <w:left w:val="nil"/>
              <w:bottom w:val="single" w:sz="4" w:space="0" w:color="FFFFFF"/>
              <w:right w:val="single" w:sz="4" w:space="0" w:color="FFFFFF"/>
            </w:tcBorders>
            <w:shd w:val="clear" w:color="auto" w:fill="auto"/>
            <w:noWrap/>
            <w:vAlign w:val="bottom"/>
          </w:tcPr>
          <w:p w14:paraId="7D45775A" w14:textId="26953CEE"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96 198</w:t>
            </w:r>
          </w:p>
        </w:tc>
      </w:tr>
      <w:tr w:rsidR="00952870" w:rsidRPr="0088338F" w14:paraId="6AB5AD23"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50033FA5"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Záväzky voči klientom</w:t>
            </w:r>
          </w:p>
        </w:tc>
        <w:tc>
          <w:tcPr>
            <w:tcW w:w="922" w:type="dxa"/>
            <w:tcBorders>
              <w:top w:val="nil"/>
              <w:left w:val="nil"/>
              <w:bottom w:val="single" w:sz="4" w:space="0" w:color="FFFFFF"/>
              <w:right w:val="single" w:sz="4" w:space="0" w:color="FFFFFF"/>
            </w:tcBorders>
            <w:shd w:val="clear" w:color="auto" w:fill="auto"/>
            <w:noWrap/>
            <w:vAlign w:val="bottom"/>
          </w:tcPr>
          <w:p w14:paraId="27AD8279" w14:textId="77777777" w:rsidR="00952870" w:rsidRPr="0088338F" w:rsidRDefault="00952870" w:rsidP="00B7100D">
            <w:pPr>
              <w:jc w:val="right"/>
              <w:rPr>
                <w:rFonts w:ascii="Arial" w:hAnsi="Arial" w:cs="Arial"/>
                <w:sz w:val="20"/>
                <w:szCs w:val="20"/>
                <w:lang w:eastAsia="en-US"/>
              </w:rPr>
            </w:pPr>
            <w:r w:rsidRPr="0088338F">
              <w:rPr>
                <w:rFonts w:ascii="Arial" w:hAnsi="Arial" w:cs="Arial"/>
                <w:sz w:val="20"/>
                <w:szCs w:val="20"/>
                <w:lang w:eastAsia="en-US"/>
              </w:rPr>
              <w:t>16.</w:t>
            </w:r>
          </w:p>
        </w:tc>
        <w:tc>
          <w:tcPr>
            <w:tcW w:w="1459" w:type="dxa"/>
            <w:tcBorders>
              <w:top w:val="nil"/>
              <w:left w:val="nil"/>
              <w:bottom w:val="single" w:sz="4" w:space="0" w:color="FFFFFF"/>
              <w:right w:val="single" w:sz="4" w:space="0" w:color="FFFFFF"/>
            </w:tcBorders>
            <w:shd w:val="clear" w:color="auto" w:fill="auto"/>
            <w:noWrap/>
            <w:vAlign w:val="bottom"/>
          </w:tcPr>
          <w:p w14:paraId="46731427" w14:textId="232E57E4"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439 932</w:t>
            </w:r>
          </w:p>
        </w:tc>
        <w:tc>
          <w:tcPr>
            <w:tcW w:w="1537" w:type="dxa"/>
            <w:tcBorders>
              <w:top w:val="nil"/>
              <w:left w:val="nil"/>
              <w:bottom w:val="single" w:sz="4" w:space="0" w:color="FFFFFF"/>
              <w:right w:val="single" w:sz="4" w:space="0" w:color="FFFFFF"/>
            </w:tcBorders>
            <w:shd w:val="clear" w:color="auto" w:fill="auto"/>
            <w:noWrap/>
            <w:vAlign w:val="bottom"/>
          </w:tcPr>
          <w:p w14:paraId="47D8FED9" w14:textId="6B91CE19"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417 202</w:t>
            </w:r>
          </w:p>
        </w:tc>
      </w:tr>
      <w:tr w:rsidR="00952870" w:rsidRPr="0088338F" w14:paraId="1A7F40AB"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56BFFD8B"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Záväzky z dlhových cenných papierov</w:t>
            </w:r>
          </w:p>
        </w:tc>
        <w:tc>
          <w:tcPr>
            <w:tcW w:w="922" w:type="dxa"/>
            <w:tcBorders>
              <w:top w:val="nil"/>
              <w:left w:val="nil"/>
              <w:bottom w:val="single" w:sz="4" w:space="0" w:color="FFFFFF"/>
              <w:right w:val="single" w:sz="4" w:space="0" w:color="FFFFFF"/>
            </w:tcBorders>
            <w:shd w:val="clear" w:color="auto" w:fill="auto"/>
            <w:noWrap/>
            <w:vAlign w:val="bottom"/>
          </w:tcPr>
          <w:p w14:paraId="1E6E9191" w14:textId="77777777" w:rsidR="00952870" w:rsidRPr="0088338F" w:rsidRDefault="00952870" w:rsidP="00B7100D">
            <w:pPr>
              <w:jc w:val="right"/>
              <w:rPr>
                <w:rFonts w:ascii="Arial" w:hAnsi="Arial" w:cs="Arial"/>
                <w:sz w:val="20"/>
                <w:szCs w:val="20"/>
                <w:lang w:eastAsia="en-US"/>
              </w:rPr>
            </w:pPr>
            <w:r w:rsidRPr="0088338F">
              <w:rPr>
                <w:rFonts w:ascii="Arial" w:hAnsi="Arial" w:cs="Arial"/>
                <w:sz w:val="20"/>
                <w:szCs w:val="20"/>
                <w:lang w:eastAsia="en-US"/>
              </w:rPr>
              <w:t>17.</w:t>
            </w:r>
          </w:p>
        </w:tc>
        <w:tc>
          <w:tcPr>
            <w:tcW w:w="1459" w:type="dxa"/>
            <w:tcBorders>
              <w:top w:val="nil"/>
              <w:left w:val="nil"/>
              <w:bottom w:val="single" w:sz="4" w:space="0" w:color="FFFFFF"/>
              <w:right w:val="single" w:sz="4" w:space="0" w:color="FFFFFF"/>
            </w:tcBorders>
            <w:shd w:val="clear" w:color="auto" w:fill="auto"/>
            <w:noWrap/>
            <w:vAlign w:val="bottom"/>
          </w:tcPr>
          <w:p w14:paraId="12D339E0" w14:textId="43EE7E66"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6 782</w:t>
            </w:r>
          </w:p>
        </w:tc>
        <w:tc>
          <w:tcPr>
            <w:tcW w:w="1537" w:type="dxa"/>
            <w:tcBorders>
              <w:top w:val="nil"/>
              <w:left w:val="nil"/>
              <w:bottom w:val="single" w:sz="4" w:space="0" w:color="FFFFFF"/>
              <w:right w:val="single" w:sz="4" w:space="0" w:color="FFFFFF"/>
            </w:tcBorders>
            <w:shd w:val="clear" w:color="auto" w:fill="auto"/>
            <w:noWrap/>
            <w:vAlign w:val="bottom"/>
          </w:tcPr>
          <w:p w14:paraId="4C6003D1" w14:textId="39430167"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16 832</w:t>
            </w:r>
          </w:p>
        </w:tc>
      </w:tr>
      <w:tr w:rsidR="00952870" w:rsidRPr="0088338F" w14:paraId="7DF7FD0D"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120EC911"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Odložený daňový záväzok</w:t>
            </w:r>
          </w:p>
        </w:tc>
        <w:tc>
          <w:tcPr>
            <w:tcW w:w="922" w:type="dxa"/>
            <w:tcBorders>
              <w:top w:val="nil"/>
              <w:left w:val="nil"/>
              <w:bottom w:val="single" w:sz="4" w:space="0" w:color="FFFFFF"/>
              <w:right w:val="single" w:sz="4" w:space="0" w:color="FFFFFF"/>
            </w:tcBorders>
            <w:shd w:val="clear" w:color="auto" w:fill="auto"/>
            <w:noWrap/>
            <w:vAlign w:val="bottom"/>
          </w:tcPr>
          <w:p w14:paraId="5C4439A3"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18.</w:t>
            </w:r>
          </w:p>
        </w:tc>
        <w:tc>
          <w:tcPr>
            <w:tcW w:w="1459" w:type="dxa"/>
            <w:tcBorders>
              <w:top w:val="nil"/>
              <w:left w:val="nil"/>
              <w:bottom w:val="single" w:sz="4" w:space="0" w:color="FFFFFF"/>
              <w:right w:val="single" w:sz="4" w:space="0" w:color="FFFFFF"/>
            </w:tcBorders>
            <w:shd w:val="clear" w:color="auto" w:fill="auto"/>
            <w:noWrap/>
            <w:vAlign w:val="bottom"/>
          </w:tcPr>
          <w:p w14:paraId="4063FF5A" w14:textId="0D8681AF"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682</w:t>
            </w:r>
          </w:p>
        </w:tc>
        <w:tc>
          <w:tcPr>
            <w:tcW w:w="1537" w:type="dxa"/>
            <w:tcBorders>
              <w:top w:val="nil"/>
              <w:left w:val="nil"/>
              <w:bottom w:val="single" w:sz="4" w:space="0" w:color="FFFFFF"/>
              <w:right w:val="single" w:sz="4" w:space="0" w:color="FFFFFF"/>
            </w:tcBorders>
            <w:shd w:val="clear" w:color="auto" w:fill="auto"/>
            <w:noWrap/>
            <w:vAlign w:val="bottom"/>
          </w:tcPr>
          <w:p w14:paraId="5747F111" w14:textId="0ED15FED"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622</w:t>
            </w:r>
          </w:p>
        </w:tc>
      </w:tr>
      <w:tr w:rsidR="00952870" w:rsidRPr="0088338F" w14:paraId="289DE52C"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2DB3E0CC"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Rezervy</w:t>
            </w:r>
          </w:p>
        </w:tc>
        <w:tc>
          <w:tcPr>
            <w:tcW w:w="922" w:type="dxa"/>
            <w:tcBorders>
              <w:top w:val="nil"/>
              <w:left w:val="nil"/>
              <w:bottom w:val="single" w:sz="4" w:space="0" w:color="FFFFFF"/>
              <w:right w:val="single" w:sz="4" w:space="0" w:color="FFFFFF"/>
            </w:tcBorders>
            <w:shd w:val="clear" w:color="auto" w:fill="auto"/>
            <w:noWrap/>
            <w:vAlign w:val="bottom"/>
          </w:tcPr>
          <w:p w14:paraId="68C3BC5C" w14:textId="77777777" w:rsidR="00952870" w:rsidRPr="0088338F" w:rsidRDefault="00952870" w:rsidP="00831995">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381E15DA" w14:textId="7C29D7E9"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331</w:t>
            </w:r>
          </w:p>
        </w:tc>
        <w:tc>
          <w:tcPr>
            <w:tcW w:w="1537" w:type="dxa"/>
            <w:tcBorders>
              <w:top w:val="nil"/>
              <w:left w:val="nil"/>
              <w:bottom w:val="single" w:sz="4" w:space="0" w:color="FFFFFF"/>
              <w:right w:val="single" w:sz="4" w:space="0" w:color="FFFFFF"/>
            </w:tcBorders>
            <w:shd w:val="clear" w:color="auto" w:fill="auto"/>
            <w:noWrap/>
            <w:vAlign w:val="bottom"/>
          </w:tcPr>
          <w:p w14:paraId="75390C68" w14:textId="3971756C"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331</w:t>
            </w:r>
          </w:p>
        </w:tc>
      </w:tr>
      <w:tr w:rsidR="00952870" w:rsidRPr="0088338F" w14:paraId="0E435A4E"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4C6D9855"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Ostatné záväzky</w:t>
            </w:r>
          </w:p>
        </w:tc>
        <w:tc>
          <w:tcPr>
            <w:tcW w:w="922" w:type="dxa"/>
            <w:tcBorders>
              <w:top w:val="nil"/>
              <w:left w:val="nil"/>
              <w:bottom w:val="single" w:sz="4" w:space="0" w:color="FFFFFF"/>
              <w:right w:val="single" w:sz="4" w:space="0" w:color="FFFFFF"/>
            </w:tcBorders>
            <w:shd w:val="clear" w:color="auto" w:fill="auto"/>
            <w:noWrap/>
            <w:vAlign w:val="bottom"/>
          </w:tcPr>
          <w:p w14:paraId="2379DC6F"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19.</w:t>
            </w:r>
          </w:p>
        </w:tc>
        <w:tc>
          <w:tcPr>
            <w:tcW w:w="1459" w:type="dxa"/>
            <w:tcBorders>
              <w:top w:val="nil"/>
              <w:left w:val="nil"/>
              <w:bottom w:val="single" w:sz="4" w:space="0" w:color="FFFFFF"/>
              <w:right w:val="single" w:sz="4" w:space="0" w:color="FFFFFF"/>
            </w:tcBorders>
            <w:shd w:val="clear" w:color="auto" w:fill="auto"/>
            <w:noWrap/>
            <w:vAlign w:val="bottom"/>
          </w:tcPr>
          <w:p w14:paraId="150A42DA" w14:textId="6C4CEE78"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6 215</w:t>
            </w:r>
          </w:p>
        </w:tc>
        <w:tc>
          <w:tcPr>
            <w:tcW w:w="1537" w:type="dxa"/>
            <w:tcBorders>
              <w:top w:val="nil"/>
              <w:left w:val="nil"/>
              <w:bottom w:val="single" w:sz="4" w:space="0" w:color="FFFFFF"/>
              <w:right w:val="single" w:sz="4" w:space="0" w:color="FFFFFF"/>
            </w:tcBorders>
            <w:shd w:val="clear" w:color="auto" w:fill="auto"/>
            <w:noWrap/>
            <w:vAlign w:val="bottom"/>
          </w:tcPr>
          <w:p w14:paraId="45B36555" w14:textId="6A00A83F"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5 041</w:t>
            </w:r>
          </w:p>
        </w:tc>
      </w:tr>
      <w:tr w:rsidR="00952870" w:rsidRPr="0088338F" w14:paraId="14714B26"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48EC0F71"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 </w:t>
            </w:r>
          </w:p>
        </w:tc>
        <w:tc>
          <w:tcPr>
            <w:tcW w:w="922" w:type="dxa"/>
            <w:tcBorders>
              <w:top w:val="nil"/>
              <w:left w:val="nil"/>
              <w:bottom w:val="single" w:sz="4" w:space="0" w:color="FFFFFF"/>
              <w:right w:val="single" w:sz="4" w:space="0" w:color="FFFFFF"/>
            </w:tcBorders>
            <w:shd w:val="clear" w:color="auto" w:fill="auto"/>
            <w:noWrap/>
            <w:vAlign w:val="bottom"/>
          </w:tcPr>
          <w:p w14:paraId="2319493B" w14:textId="77777777" w:rsidR="00952870" w:rsidRPr="0088338F" w:rsidRDefault="00952870" w:rsidP="00614F3F">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1C1B147C" w14:textId="77777777" w:rsidR="00952870" w:rsidRPr="0088338F" w:rsidRDefault="00952870" w:rsidP="00A45FE4">
            <w:pPr>
              <w:jc w:val="right"/>
              <w:rPr>
                <w:rFonts w:ascii="Arial" w:hAnsi="Arial" w:cs="Arial"/>
                <w:sz w:val="20"/>
                <w:szCs w:val="20"/>
                <w:lang w:eastAsia="en-US"/>
              </w:rPr>
            </w:pPr>
          </w:p>
        </w:tc>
        <w:tc>
          <w:tcPr>
            <w:tcW w:w="1537" w:type="dxa"/>
            <w:tcBorders>
              <w:top w:val="nil"/>
              <w:left w:val="nil"/>
              <w:bottom w:val="single" w:sz="4" w:space="0" w:color="FFFFFF"/>
              <w:right w:val="single" w:sz="4" w:space="0" w:color="FFFFFF"/>
            </w:tcBorders>
            <w:shd w:val="clear" w:color="auto" w:fill="auto"/>
            <w:noWrap/>
            <w:vAlign w:val="bottom"/>
          </w:tcPr>
          <w:p w14:paraId="55ED876D" w14:textId="77777777" w:rsidR="00952870" w:rsidRPr="0088338F" w:rsidRDefault="00952870" w:rsidP="00A45FE4">
            <w:pPr>
              <w:jc w:val="right"/>
              <w:rPr>
                <w:rFonts w:ascii="Arial" w:hAnsi="Arial" w:cs="Arial"/>
                <w:sz w:val="20"/>
                <w:szCs w:val="20"/>
                <w:lang w:eastAsia="en-US"/>
              </w:rPr>
            </w:pPr>
          </w:p>
        </w:tc>
      </w:tr>
      <w:tr w:rsidR="00952870" w:rsidRPr="0088338F" w14:paraId="2A4D96FB"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595CAF85" w14:textId="77777777" w:rsidR="00952870" w:rsidRPr="0088338F" w:rsidRDefault="00952870" w:rsidP="00831995">
            <w:pPr>
              <w:rPr>
                <w:rFonts w:ascii="Arial" w:hAnsi="Arial" w:cs="Arial"/>
                <w:b/>
                <w:bCs/>
                <w:sz w:val="20"/>
                <w:szCs w:val="20"/>
                <w:lang w:eastAsia="en-US"/>
              </w:rPr>
            </w:pPr>
            <w:r w:rsidRPr="0088338F">
              <w:rPr>
                <w:rFonts w:ascii="Arial" w:hAnsi="Arial" w:cs="Arial"/>
                <w:b/>
                <w:bCs/>
                <w:sz w:val="20"/>
                <w:szCs w:val="20"/>
                <w:lang w:eastAsia="en-US"/>
              </w:rPr>
              <w:t>Záväzky celkom</w:t>
            </w:r>
          </w:p>
        </w:tc>
        <w:tc>
          <w:tcPr>
            <w:tcW w:w="922" w:type="dxa"/>
            <w:tcBorders>
              <w:top w:val="nil"/>
              <w:left w:val="nil"/>
              <w:bottom w:val="single" w:sz="4" w:space="0" w:color="FFFFFF"/>
              <w:right w:val="single" w:sz="4" w:space="0" w:color="FFFFFF"/>
            </w:tcBorders>
            <w:shd w:val="clear" w:color="auto" w:fill="auto"/>
            <w:noWrap/>
            <w:vAlign w:val="bottom"/>
          </w:tcPr>
          <w:p w14:paraId="53C65C6E" w14:textId="77777777" w:rsidR="00952870" w:rsidRPr="0088338F" w:rsidRDefault="00952870" w:rsidP="00614F3F">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7BD4BD00" w14:textId="5E654FED" w:rsidR="00952870" w:rsidRPr="0088338F" w:rsidRDefault="00A51166" w:rsidP="00A45FE4">
            <w:pPr>
              <w:jc w:val="right"/>
              <w:rPr>
                <w:rFonts w:ascii="Arial" w:hAnsi="Arial" w:cs="Arial"/>
                <w:b/>
                <w:bCs/>
                <w:sz w:val="20"/>
                <w:szCs w:val="20"/>
                <w:lang w:eastAsia="en-US"/>
              </w:rPr>
            </w:pPr>
            <w:r w:rsidRPr="0088338F">
              <w:rPr>
                <w:rFonts w:ascii="Arial" w:hAnsi="Arial" w:cs="Arial"/>
                <w:b/>
                <w:bCs/>
                <w:sz w:val="20"/>
                <w:szCs w:val="20"/>
                <w:lang w:eastAsia="en-US"/>
              </w:rPr>
              <w:t>550 154</w:t>
            </w:r>
          </w:p>
        </w:tc>
        <w:tc>
          <w:tcPr>
            <w:tcW w:w="1537" w:type="dxa"/>
            <w:tcBorders>
              <w:top w:val="nil"/>
              <w:left w:val="nil"/>
              <w:bottom w:val="single" w:sz="4" w:space="0" w:color="FFFFFF"/>
              <w:right w:val="single" w:sz="4" w:space="0" w:color="FFFFFF"/>
            </w:tcBorders>
            <w:shd w:val="clear" w:color="auto" w:fill="auto"/>
            <w:noWrap/>
            <w:vAlign w:val="bottom"/>
          </w:tcPr>
          <w:p w14:paraId="2B63AF6C" w14:textId="5566BA94" w:rsidR="00952870" w:rsidRPr="0088338F" w:rsidRDefault="00952870" w:rsidP="00A45FE4">
            <w:pPr>
              <w:jc w:val="right"/>
              <w:rPr>
                <w:rFonts w:ascii="Arial" w:hAnsi="Arial" w:cs="Arial"/>
                <w:b/>
                <w:bCs/>
                <w:sz w:val="20"/>
                <w:szCs w:val="20"/>
                <w:lang w:eastAsia="en-US"/>
              </w:rPr>
            </w:pPr>
            <w:r w:rsidRPr="0088338F">
              <w:rPr>
                <w:rFonts w:ascii="Arial" w:hAnsi="Arial" w:cs="Arial"/>
                <w:b/>
                <w:bCs/>
                <w:sz w:val="20"/>
                <w:szCs w:val="20"/>
                <w:lang w:eastAsia="en-US"/>
              </w:rPr>
              <w:t>536 226</w:t>
            </w:r>
          </w:p>
        </w:tc>
      </w:tr>
      <w:tr w:rsidR="00952870" w:rsidRPr="0088338F" w14:paraId="20DA0AD9"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7DA5DF5D"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 </w:t>
            </w:r>
          </w:p>
        </w:tc>
        <w:tc>
          <w:tcPr>
            <w:tcW w:w="922" w:type="dxa"/>
            <w:tcBorders>
              <w:top w:val="nil"/>
              <w:left w:val="nil"/>
              <w:bottom w:val="single" w:sz="4" w:space="0" w:color="FFFFFF"/>
              <w:right w:val="single" w:sz="4" w:space="0" w:color="FFFFFF"/>
            </w:tcBorders>
            <w:shd w:val="clear" w:color="auto" w:fill="auto"/>
            <w:noWrap/>
            <w:vAlign w:val="bottom"/>
          </w:tcPr>
          <w:p w14:paraId="5F76FE3A" w14:textId="77777777" w:rsidR="00952870" w:rsidRPr="0088338F" w:rsidRDefault="00952870" w:rsidP="00614F3F">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7303D241" w14:textId="77777777" w:rsidR="00952870" w:rsidRPr="0088338F" w:rsidRDefault="00952870" w:rsidP="00A45FE4">
            <w:pPr>
              <w:jc w:val="right"/>
              <w:rPr>
                <w:rFonts w:ascii="Arial" w:hAnsi="Arial" w:cs="Arial"/>
                <w:sz w:val="20"/>
                <w:szCs w:val="20"/>
                <w:lang w:eastAsia="en-US"/>
              </w:rPr>
            </w:pPr>
          </w:p>
        </w:tc>
        <w:tc>
          <w:tcPr>
            <w:tcW w:w="1537" w:type="dxa"/>
            <w:tcBorders>
              <w:top w:val="nil"/>
              <w:left w:val="nil"/>
              <w:bottom w:val="single" w:sz="4" w:space="0" w:color="FFFFFF"/>
              <w:right w:val="single" w:sz="4" w:space="0" w:color="FFFFFF"/>
            </w:tcBorders>
            <w:shd w:val="clear" w:color="auto" w:fill="auto"/>
            <w:noWrap/>
            <w:vAlign w:val="bottom"/>
          </w:tcPr>
          <w:p w14:paraId="74A609FC" w14:textId="77777777" w:rsidR="00952870" w:rsidRPr="0088338F" w:rsidRDefault="00952870" w:rsidP="00A45FE4">
            <w:pPr>
              <w:jc w:val="right"/>
              <w:rPr>
                <w:rFonts w:ascii="Arial" w:hAnsi="Arial" w:cs="Arial"/>
                <w:sz w:val="20"/>
                <w:szCs w:val="20"/>
                <w:lang w:eastAsia="en-US"/>
              </w:rPr>
            </w:pPr>
          </w:p>
        </w:tc>
      </w:tr>
      <w:tr w:rsidR="00952870" w:rsidRPr="0088338F" w14:paraId="09F61761"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67DEFBE0" w14:textId="77777777" w:rsidR="00952870" w:rsidRPr="0088338F" w:rsidRDefault="00952870" w:rsidP="00831995">
            <w:pPr>
              <w:rPr>
                <w:rFonts w:ascii="Arial" w:hAnsi="Arial" w:cs="Arial"/>
                <w:b/>
                <w:bCs/>
                <w:sz w:val="20"/>
                <w:szCs w:val="20"/>
                <w:lang w:eastAsia="en-US"/>
              </w:rPr>
            </w:pPr>
            <w:r w:rsidRPr="0088338F">
              <w:rPr>
                <w:rFonts w:ascii="Arial" w:hAnsi="Arial" w:cs="Arial"/>
                <w:b/>
                <w:bCs/>
                <w:sz w:val="20"/>
                <w:szCs w:val="20"/>
                <w:lang w:eastAsia="en-US"/>
              </w:rPr>
              <w:t>Vlastné imanie</w:t>
            </w:r>
          </w:p>
        </w:tc>
        <w:tc>
          <w:tcPr>
            <w:tcW w:w="922" w:type="dxa"/>
            <w:tcBorders>
              <w:top w:val="nil"/>
              <w:left w:val="nil"/>
              <w:bottom w:val="single" w:sz="4" w:space="0" w:color="FFFFFF"/>
              <w:right w:val="single" w:sz="4" w:space="0" w:color="FFFFFF"/>
            </w:tcBorders>
            <w:shd w:val="clear" w:color="auto" w:fill="auto"/>
            <w:noWrap/>
            <w:vAlign w:val="bottom"/>
          </w:tcPr>
          <w:p w14:paraId="7071A06E" w14:textId="77777777" w:rsidR="00952870" w:rsidRPr="0088338F" w:rsidRDefault="00952870" w:rsidP="00614F3F">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522496EB" w14:textId="77777777" w:rsidR="00952870" w:rsidRPr="0088338F" w:rsidRDefault="00952870" w:rsidP="00A45FE4">
            <w:pPr>
              <w:jc w:val="right"/>
              <w:rPr>
                <w:rFonts w:ascii="Arial" w:hAnsi="Arial" w:cs="Arial"/>
                <w:sz w:val="20"/>
                <w:szCs w:val="20"/>
                <w:lang w:eastAsia="en-US"/>
              </w:rPr>
            </w:pPr>
          </w:p>
        </w:tc>
        <w:tc>
          <w:tcPr>
            <w:tcW w:w="1537" w:type="dxa"/>
            <w:tcBorders>
              <w:top w:val="nil"/>
              <w:left w:val="nil"/>
              <w:bottom w:val="single" w:sz="4" w:space="0" w:color="FFFFFF"/>
              <w:right w:val="single" w:sz="4" w:space="0" w:color="FFFFFF"/>
            </w:tcBorders>
            <w:shd w:val="clear" w:color="auto" w:fill="auto"/>
            <w:noWrap/>
            <w:vAlign w:val="bottom"/>
          </w:tcPr>
          <w:p w14:paraId="60BE920E" w14:textId="77777777" w:rsidR="00952870" w:rsidRPr="0088338F" w:rsidRDefault="00952870" w:rsidP="00A45FE4">
            <w:pPr>
              <w:jc w:val="right"/>
              <w:rPr>
                <w:rFonts w:ascii="Arial" w:hAnsi="Arial" w:cs="Arial"/>
                <w:sz w:val="20"/>
                <w:szCs w:val="20"/>
                <w:lang w:eastAsia="en-US"/>
              </w:rPr>
            </w:pPr>
          </w:p>
        </w:tc>
      </w:tr>
      <w:tr w:rsidR="00952870" w:rsidRPr="0088338F" w14:paraId="26ED6A64"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40EB941E"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 </w:t>
            </w:r>
          </w:p>
        </w:tc>
        <w:tc>
          <w:tcPr>
            <w:tcW w:w="922" w:type="dxa"/>
            <w:tcBorders>
              <w:top w:val="nil"/>
              <w:left w:val="nil"/>
              <w:bottom w:val="single" w:sz="4" w:space="0" w:color="FFFFFF"/>
              <w:right w:val="single" w:sz="4" w:space="0" w:color="FFFFFF"/>
            </w:tcBorders>
            <w:shd w:val="clear" w:color="auto" w:fill="auto"/>
            <w:noWrap/>
            <w:vAlign w:val="bottom"/>
          </w:tcPr>
          <w:p w14:paraId="289E1F5D" w14:textId="77777777" w:rsidR="00952870" w:rsidRPr="0088338F" w:rsidRDefault="00952870" w:rsidP="00614F3F">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5525EBCE" w14:textId="77777777" w:rsidR="00952870" w:rsidRPr="0088338F" w:rsidRDefault="00952870" w:rsidP="00A45FE4">
            <w:pPr>
              <w:jc w:val="right"/>
              <w:rPr>
                <w:rFonts w:ascii="Arial" w:hAnsi="Arial" w:cs="Arial"/>
                <w:sz w:val="20"/>
                <w:szCs w:val="20"/>
                <w:lang w:eastAsia="en-US"/>
              </w:rPr>
            </w:pPr>
          </w:p>
        </w:tc>
        <w:tc>
          <w:tcPr>
            <w:tcW w:w="1537" w:type="dxa"/>
            <w:tcBorders>
              <w:top w:val="nil"/>
              <w:left w:val="nil"/>
              <w:bottom w:val="single" w:sz="4" w:space="0" w:color="FFFFFF"/>
              <w:right w:val="single" w:sz="4" w:space="0" w:color="FFFFFF"/>
            </w:tcBorders>
            <w:shd w:val="clear" w:color="auto" w:fill="auto"/>
            <w:noWrap/>
            <w:vAlign w:val="bottom"/>
          </w:tcPr>
          <w:p w14:paraId="2AD42071" w14:textId="77777777" w:rsidR="00952870" w:rsidRPr="0088338F" w:rsidRDefault="00952870" w:rsidP="00A45FE4">
            <w:pPr>
              <w:jc w:val="right"/>
              <w:rPr>
                <w:rFonts w:ascii="Arial" w:hAnsi="Arial" w:cs="Arial"/>
                <w:sz w:val="20"/>
                <w:szCs w:val="20"/>
                <w:lang w:eastAsia="en-US"/>
              </w:rPr>
            </w:pPr>
          </w:p>
        </w:tc>
      </w:tr>
      <w:tr w:rsidR="00952870" w:rsidRPr="0088338F" w14:paraId="0569327E"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7D1741E9"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Základné imanie</w:t>
            </w:r>
          </w:p>
        </w:tc>
        <w:tc>
          <w:tcPr>
            <w:tcW w:w="922" w:type="dxa"/>
            <w:tcBorders>
              <w:top w:val="nil"/>
              <w:left w:val="nil"/>
              <w:bottom w:val="single" w:sz="4" w:space="0" w:color="FFFFFF"/>
              <w:right w:val="single" w:sz="4" w:space="0" w:color="FFFFFF"/>
            </w:tcBorders>
            <w:shd w:val="clear" w:color="auto" w:fill="auto"/>
            <w:noWrap/>
            <w:vAlign w:val="bottom"/>
          </w:tcPr>
          <w:p w14:paraId="004881B5"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20.</w:t>
            </w:r>
          </w:p>
        </w:tc>
        <w:tc>
          <w:tcPr>
            <w:tcW w:w="1459" w:type="dxa"/>
            <w:tcBorders>
              <w:top w:val="nil"/>
              <w:left w:val="nil"/>
              <w:bottom w:val="single" w:sz="4" w:space="0" w:color="FFFFFF"/>
              <w:right w:val="single" w:sz="4" w:space="0" w:color="FFFFFF"/>
            </w:tcBorders>
            <w:shd w:val="clear" w:color="auto" w:fill="auto"/>
            <w:noWrap/>
            <w:vAlign w:val="bottom"/>
          </w:tcPr>
          <w:p w14:paraId="78A4AC2E" w14:textId="6FB82B4F"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25 121</w:t>
            </w:r>
          </w:p>
        </w:tc>
        <w:tc>
          <w:tcPr>
            <w:tcW w:w="1537" w:type="dxa"/>
            <w:tcBorders>
              <w:top w:val="nil"/>
              <w:left w:val="nil"/>
              <w:bottom w:val="single" w:sz="4" w:space="0" w:color="FFFFFF"/>
              <w:right w:val="single" w:sz="4" w:space="0" w:color="FFFFFF"/>
            </w:tcBorders>
            <w:shd w:val="clear" w:color="auto" w:fill="auto"/>
            <w:noWrap/>
            <w:vAlign w:val="bottom"/>
          </w:tcPr>
          <w:p w14:paraId="606E6017" w14:textId="5679CE9D"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25 121</w:t>
            </w:r>
          </w:p>
        </w:tc>
      </w:tr>
      <w:tr w:rsidR="00952870" w:rsidRPr="0088338F" w14:paraId="19B88B83"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2FC2C0F9"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Kapitálové fondy a fondy zo zisku</w:t>
            </w:r>
          </w:p>
        </w:tc>
        <w:tc>
          <w:tcPr>
            <w:tcW w:w="922" w:type="dxa"/>
            <w:tcBorders>
              <w:top w:val="nil"/>
              <w:left w:val="nil"/>
              <w:bottom w:val="single" w:sz="4" w:space="0" w:color="FFFFFF"/>
              <w:right w:val="single" w:sz="4" w:space="0" w:color="FFFFFF"/>
            </w:tcBorders>
            <w:shd w:val="clear" w:color="auto" w:fill="auto"/>
            <w:noWrap/>
            <w:vAlign w:val="bottom"/>
          </w:tcPr>
          <w:p w14:paraId="5D71E8F2"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20.</w:t>
            </w:r>
          </w:p>
        </w:tc>
        <w:tc>
          <w:tcPr>
            <w:tcW w:w="1459" w:type="dxa"/>
            <w:tcBorders>
              <w:top w:val="nil"/>
              <w:left w:val="nil"/>
              <w:bottom w:val="single" w:sz="4" w:space="0" w:color="FFFFFF"/>
              <w:right w:val="single" w:sz="4" w:space="0" w:color="FFFFFF"/>
            </w:tcBorders>
            <w:shd w:val="clear" w:color="auto" w:fill="auto"/>
            <w:noWrap/>
            <w:vAlign w:val="bottom"/>
          </w:tcPr>
          <w:p w14:paraId="7602799B" w14:textId="07626B57"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5 024</w:t>
            </w:r>
          </w:p>
        </w:tc>
        <w:tc>
          <w:tcPr>
            <w:tcW w:w="1537" w:type="dxa"/>
            <w:tcBorders>
              <w:top w:val="nil"/>
              <w:left w:val="nil"/>
              <w:bottom w:val="single" w:sz="4" w:space="0" w:color="FFFFFF"/>
              <w:right w:val="single" w:sz="4" w:space="0" w:color="FFFFFF"/>
            </w:tcBorders>
            <w:shd w:val="clear" w:color="auto" w:fill="auto"/>
            <w:noWrap/>
            <w:vAlign w:val="bottom"/>
          </w:tcPr>
          <w:p w14:paraId="58002C83" w14:textId="6696D06B"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4 692</w:t>
            </w:r>
          </w:p>
        </w:tc>
      </w:tr>
      <w:tr w:rsidR="00952870" w:rsidRPr="0088338F" w14:paraId="0AA958D8" w14:textId="77777777" w:rsidTr="00A45FE4">
        <w:trPr>
          <w:trHeight w:val="510"/>
        </w:trPr>
        <w:tc>
          <w:tcPr>
            <w:tcW w:w="5320" w:type="dxa"/>
            <w:tcBorders>
              <w:top w:val="nil"/>
              <w:left w:val="single" w:sz="4" w:space="0" w:color="FFFFFF"/>
              <w:bottom w:val="single" w:sz="4" w:space="0" w:color="FFFFFF"/>
              <w:right w:val="single" w:sz="4" w:space="0" w:color="FFFFFF"/>
            </w:tcBorders>
            <w:shd w:val="clear" w:color="auto" w:fill="auto"/>
            <w:vAlign w:val="bottom"/>
          </w:tcPr>
          <w:p w14:paraId="57CCE5F9" w14:textId="77777777" w:rsidR="00952870" w:rsidRPr="0088338F" w:rsidRDefault="00952870" w:rsidP="00560B0A">
            <w:pPr>
              <w:ind w:left="170" w:hanging="170"/>
              <w:rPr>
                <w:rFonts w:ascii="Arial" w:hAnsi="Arial" w:cs="Arial"/>
                <w:sz w:val="20"/>
                <w:szCs w:val="20"/>
                <w:lang w:eastAsia="en-US"/>
              </w:rPr>
            </w:pPr>
            <w:r w:rsidRPr="0088338F">
              <w:rPr>
                <w:rFonts w:ascii="Arial" w:hAnsi="Arial" w:cs="Arial"/>
                <w:sz w:val="20"/>
                <w:szCs w:val="20"/>
                <w:lang w:eastAsia="en-US"/>
              </w:rPr>
              <w:t>Oceňovacie rozdiely z cenných papierov k dispozícii na</w:t>
            </w:r>
            <w:r w:rsidRPr="0088338F">
              <w:rPr>
                <w:rFonts w:ascii="Arial" w:hAnsi="Arial" w:cs="Arial"/>
                <w:sz w:val="20"/>
                <w:szCs w:val="20"/>
                <w:lang w:eastAsia="en-US"/>
              </w:rPr>
              <w:br/>
              <w:t>predaj, vrátane odloženej dane</w:t>
            </w:r>
          </w:p>
        </w:tc>
        <w:tc>
          <w:tcPr>
            <w:tcW w:w="922" w:type="dxa"/>
            <w:tcBorders>
              <w:top w:val="nil"/>
              <w:left w:val="nil"/>
              <w:bottom w:val="single" w:sz="4" w:space="0" w:color="FFFFFF"/>
              <w:right w:val="single" w:sz="4" w:space="0" w:color="FFFFFF"/>
            </w:tcBorders>
            <w:shd w:val="clear" w:color="auto" w:fill="auto"/>
            <w:noWrap/>
            <w:vAlign w:val="bottom"/>
          </w:tcPr>
          <w:p w14:paraId="6A9F62F0"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20.</w:t>
            </w:r>
          </w:p>
        </w:tc>
        <w:tc>
          <w:tcPr>
            <w:tcW w:w="1459" w:type="dxa"/>
            <w:tcBorders>
              <w:top w:val="nil"/>
              <w:left w:val="nil"/>
              <w:bottom w:val="single" w:sz="4" w:space="0" w:color="FFFFFF"/>
              <w:right w:val="single" w:sz="4" w:space="0" w:color="FFFFFF"/>
            </w:tcBorders>
            <w:shd w:val="clear" w:color="auto" w:fill="auto"/>
            <w:noWrap/>
            <w:vAlign w:val="bottom"/>
          </w:tcPr>
          <w:p w14:paraId="7FA37716" w14:textId="65BCA2F9"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2 618</w:t>
            </w:r>
          </w:p>
        </w:tc>
        <w:tc>
          <w:tcPr>
            <w:tcW w:w="1537" w:type="dxa"/>
            <w:tcBorders>
              <w:top w:val="nil"/>
              <w:left w:val="nil"/>
              <w:bottom w:val="single" w:sz="4" w:space="0" w:color="FFFFFF"/>
              <w:right w:val="single" w:sz="4" w:space="0" w:color="FFFFFF"/>
            </w:tcBorders>
            <w:shd w:val="clear" w:color="auto" w:fill="auto"/>
            <w:noWrap/>
            <w:vAlign w:val="bottom"/>
          </w:tcPr>
          <w:p w14:paraId="3D1C8865" w14:textId="559B1A37"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2 300</w:t>
            </w:r>
          </w:p>
        </w:tc>
      </w:tr>
      <w:tr w:rsidR="00952870" w:rsidRPr="0088338F" w14:paraId="60212181"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1DC21B41"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Oceňovacie rozdiely z prepočtu zabezpečovacích derivátov, vrátene odloženej dane</w:t>
            </w:r>
          </w:p>
        </w:tc>
        <w:tc>
          <w:tcPr>
            <w:tcW w:w="922" w:type="dxa"/>
            <w:tcBorders>
              <w:top w:val="nil"/>
              <w:left w:val="nil"/>
              <w:bottom w:val="single" w:sz="4" w:space="0" w:color="FFFFFF"/>
              <w:right w:val="single" w:sz="4" w:space="0" w:color="FFFFFF"/>
            </w:tcBorders>
            <w:shd w:val="clear" w:color="auto" w:fill="auto"/>
            <w:noWrap/>
            <w:vAlign w:val="bottom"/>
          </w:tcPr>
          <w:p w14:paraId="3A9C5CB6" w14:textId="77777777" w:rsidR="00952870" w:rsidRPr="0088338F" w:rsidRDefault="00952870" w:rsidP="00831995">
            <w:pPr>
              <w:jc w:val="right"/>
              <w:rPr>
                <w:rFonts w:ascii="Arial" w:hAnsi="Arial" w:cs="Arial"/>
                <w:sz w:val="20"/>
                <w:szCs w:val="20"/>
                <w:lang w:eastAsia="en-US"/>
              </w:rPr>
            </w:pPr>
            <w:r w:rsidRPr="0088338F">
              <w:rPr>
                <w:rFonts w:ascii="Arial" w:hAnsi="Arial" w:cs="Arial"/>
                <w:sz w:val="20"/>
                <w:szCs w:val="20"/>
                <w:lang w:eastAsia="en-US"/>
              </w:rPr>
              <w:t>20.</w:t>
            </w:r>
          </w:p>
        </w:tc>
        <w:tc>
          <w:tcPr>
            <w:tcW w:w="1459" w:type="dxa"/>
            <w:tcBorders>
              <w:top w:val="nil"/>
              <w:left w:val="nil"/>
              <w:bottom w:val="single" w:sz="4" w:space="0" w:color="FFFFFF"/>
              <w:right w:val="single" w:sz="4" w:space="0" w:color="FFFFFF"/>
            </w:tcBorders>
            <w:shd w:val="clear" w:color="auto" w:fill="auto"/>
            <w:noWrap/>
            <w:vAlign w:val="bottom"/>
          </w:tcPr>
          <w:p w14:paraId="1B9D92A1" w14:textId="10C51768" w:rsidR="00952870" w:rsidRPr="0088338F" w:rsidRDefault="00A51166" w:rsidP="00A45FE4">
            <w:pPr>
              <w:ind w:right="-57"/>
              <w:jc w:val="right"/>
              <w:rPr>
                <w:rFonts w:ascii="Arial" w:hAnsi="Arial" w:cs="Arial"/>
                <w:sz w:val="20"/>
                <w:szCs w:val="20"/>
                <w:lang w:eastAsia="en-US"/>
              </w:rPr>
            </w:pPr>
            <w:r w:rsidRPr="0088338F">
              <w:rPr>
                <w:rFonts w:ascii="Arial" w:hAnsi="Arial" w:cs="Arial"/>
                <w:sz w:val="20"/>
                <w:szCs w:val="20"/>
                <w:lang w:eastAsia="en-US"/>
              </w:rPr>
              <w:t>(93)</w:t>
            </w:r>
          </w:p>
        </w:tc>
        <w:tc>
          <w:tcPr>
            <w:tcW w:w="1537" w:type="dxa"/>
            <w:tcBorders>
              <w:top w:val="nil"/>
              <w:left w:val="nil"/>
              <w:bottom w:val="single" w:sz="4" w:space="0" w:color="FFFFFF"/>
              <w:right w:val="single" w:sz="4" w:space="0" w:color="FFFFFF"/>
            </w:tcBorders>
            <w:shd w:val="clear" w:color="auto" w:fill="auto"/>
            <w:noWrap/>
            <w:vAlign w:val="bottom"/>
          </w:tcPr>
          <w:p w14:paraId="070EDC2B" w14:textId="32E58734" w:rsidR="00952870" w:rsidRPr="0088338F" w:rsidRDefault="00952870" w:rsidP="00A45FE4">
            <w:pPr>
              <w:ind w:right="-57"/>
              <w:jc w:val="right"/>
              <w:rPr>
                <w:rFonts w:ascii="Arial" w:hAnsi="Arial" w:cs="Arial"/>
                <w:sz w:val="20"/>
                <w:szCs w:val="20"/>
                <w:lang w:eastAsia="en-US"/>
              </w:rPr>
            </w:pPr>
            <w:r w:rsidRPr="0088338F">
              <w:rPr>
                <w:rFonts w:ascii="Arial" w:hAnsi="Arial" w:cs="Arial"/>
                <w:sz w:val="20"/>
                <w:szCs w:val="20"/>
                <w:lang w:eastAsia="en-US"/>
              </w:rPr>
              <w:t>(150)</w:t>
            </w:r>
          </w:p>
        </w:tc>
      </w:tr>
      <w:tr w:rsidR="00952870" w:rsidRPr="0088338F" w14:paraId="0C0061AA"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720F416E"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Nerozdelený zisk</w:t>
            </w:r>
          </w:p>
        </w:tc>
        <w:tc>
          <w:tcPr>
            <w:tcW w:w="922" w:type="dxa"/>
            <w:tcBorders>
              <w:top w:val="nil"/>
              <w:left w:val="nil"/>
              <w:bottom w:val="single" w:sz="4" w:space="0" w:color="FFFFFF"/>
              <w:right w:val="single" w:sz="4" w:space="0" w:color="FFFFFF"/>
            </w:tcBorders>
            <w:shd w:val="clear" w:color="auto" w:fill="auto"/>
            <w:noWrap/>
            <w:vAlign w:val="bottom"/>
          </w:tcPr>
          <w:p w14:paraId="4E4E048F" w14:textId="77777777" w:rsidR="00952870" w:rsidRPr="0088338F" w:rsidRDefault="00952870" w:rsidP="00831995">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2211B57F" w14:textId="741FA84D" w:rsidR="00952870" w:rsidRPr="0088338F" w:rsidRDefault="00A51166" w:rsidP="00A45FE4">
            <w:pPr>
              <w:jc w:val="right"/>
              <w:rPr>
                <w:rFonts w:ascii="Arial" w:hAnsi="Arial" w:cs="Arial"/>
                <w:sz w:val="20"/>
                <w:szCs w:val="20"/>
                <w:lang w:eastAsia="en-US"/>
              </w:rPr>
            </w:pPr>
            <w:r w:rsidRPr="0088338F">
              <w:rPr>
                <w:rFonts w:ascii="Arial" w:hAnsi="Arial" w:cs="Arial"/>
                <w:sz w:val="20"/>
                <w:szCs w:val="20"/>
                <w:lang w:eastAsia="en-US"/>
              </w:rPr>
              <w:t>35 856</w:t>
            </w:r>
          </w:p>
        </w:tc>
        <w:tc>
          <w:tcPr>
            <w:tcW w:w="1537" w:type="dxa"/>
            <w:tcBorders>
              <w:top w:val="nil"/>
              <w:left w:val="nil"/>
              <w:bottom w:val="single" w:sz="4" w:space="0" w:color="FFFFFF"/>
              <w:right w:val="single" w:sz="4" w:space="0" w:color="FFFFFF"/>
            </w:tcBorders>
            <w:shd w:val="clear" w:color="auto" w:fill="auto"/>
            <w:noWrap/>
            <w:vAlign w:val="bottom"/>
          </w:tcPr>
          <w:p w14:paraId="1C6C90EC" w14:textId="2341C8DF"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27 077</w:t>
            </w:r>
          </w:p>
        </w:tc>
      </w:tr>
      <w:tr w:rsidR="00952870" w:rsidRPr="0088338F" w14:paraId="3C332D70"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05AF6584"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 </w:t>
            </w:r>
          </w:p>
        </w:tc>
        <w:tc>
          <w:tcPr>
            <w:tcW w:w="922" w:type="dxa"/>
            <w:tcBorders>
              <w:top w:val="nil"/>
              <w:left w:val="nil"/>
              <w:bottom w:val="single" w:sz="4" w:space="0" w:color="FFFFFF"/>
              <w:right w:val="single" w:sz="4" w:space="0" w:color="FFFFFF"/>
            </w:tcBorders>
            <w:shd w:val="clear" w:color="auto" w:fill="auto"/>
            <w:noWrap/>
            <w:vAlign w:val="bottom"/>
          </w:tcPr>
          <w:p w14:paraId="34D6399E" w14:textId="77777777" w:rsidR="00952870" w:rsidRPr="0088338F" w:rsidRDefault="00952870" w:rsidP="0069708B">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196D32E0" w14:textId="77777777" w:rsidR="00952870" w:rsidRPr="0088338F" w:rsidRDefault="00952870" w:rsidP="00A45FE4">
            <w:pPr>
              <w:jc w:val="right"/>
              <w:rPr>
                <w:rFonts w:ascii="Arial" w:hAnsi="Arial" w:cs="Arial"/>
                <w:sz w:val="20"/>
                <w:szCs w:val="20"/>
                <w:lang w:eastAsia="en-US"/>
              </w:rPr>
            </w:pPr>
          </w:p>
        </w:tc>
        <w:tc>
          <w:tcPr>
            <w:tcW w:w="1537" w:type="dxa"/>
            <w:tcBorders>
              <w:top w:val="nil"/>
              <w:left w:val="nil"/>
              <w:bottom w:val="single" w:sz="4" w:space="0" w:color="FFFFFF"/>
              <w:right w:val="single" w:sz="4" w:space="0" w:color="FFFFFF"/>
            </w:tcBorders>
            <w:shd w:val="clear" w:color="auto" w:fill="auto"/>
            <w:noWrap/>
            <w:vAlign w:val="bottom"/>
          </w:tcPr>
          <w:p w14:paraId="0D457200" w14:textId="77777777" w:rsidR="00952870" w:rsidRPr="0088338F" w:rsidRDefault="00952870" w:rsidP="00A45FE4">
            <w:pPr>
              <w:jc w:val="right"/>
              <w:rPr>
                <w:rFonts w:ascii="Arial" w:hAnsi="Arial" w:cs="Arial"/>
                <w:sz w:val="20"/>
                <w:szCs w:val="20"/>
                <w:lang w:eastAsia="en-US"/>
              </w:rPr>
            </w:pPr>
          </w:p>
        </w:tc>
      </w:tr>
      <w:tr w:rsidR="00952870" w:rsidRPr="0088338F" w14:paraId="625861E4"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1262E773" w14:textId="77777777" w:rsidR="00952870" w:rsidRPr="0088338F" w:rsidRDefault="00952870" w:rsidP="00831995">
            <w:pPr>
              <w:rPr>
                <w:rFonts w:ascii="Arial" w:hAnsi="Arial" w:cs="Arial"/>
                <w:b/>
                <w:bCs/>
                <w:sz w:val="20"/>
                <w:szCs w:val="20"/>
                <w:lang w:eastAsia="en-US"/>
              </w:rPr>
            </w:pPr>
            <w:r w:rsidRPr="0088338F">
              <w:rPr>
                <w:rFonts w:ascii="Arial" w:hAnsi="Arial" w:cs="Arial"/>
                <w:b/>
                <w:bCs/>
                <w:sz w:val="20"/>
                <w:szCs w:val="20"/>
                <w:lang w:eastAsia="en-US"/>
              </w:rPr>
              <w:t>Vlastné imanie celkom</w:t>
            </w:r>
          </w:p>
        </w:tc>
        <w:tc>
          <w:tcPr>
            <w:tcW w:w="922" w:type="dxa"/>
            <w:tcBorders>
              <w:top w:val="nil"/>
              <w:left w:val="nil"/>
              <w:bottom w:val="single" w:sz="4" w:space="0" w:color="FFFFFF"/>
              <w:right w:val="single" w:sz="4" w:space="0" w:color="FFFFFF"/>
            </w:tcBorders>
            <w:shd w:val="clear" w:color="auto" w:fill="auto"/>
            <w:noWrap/>
            <w:vAlign w:val="bottom"/>
          </w:tcPr>
          <w:p w14:paraId="7755DE5F" w14:textId="77777777" w:rsidR="00952870" w:rsidRPr="0088338F" w:rsidRDefault="00952870" w:rsidP="0069708B">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3440DA2C" w14:textId="7D8882A9" w:rsidR="00952870" w:rsidRPr="0088338F" w:rsidRDefault="00A51166" w:rsidP="00A45FE4">
            <w:pPr>
              <w:jc w:val="right"/>
              <w:rPr>
                <w:rFonts w:ascii="Arial" w:hAnsi="Arial" w:cs="Arial"/>
                <w:b/>
                <w:bCs/>
                <w:sz w:val="20"/>
                <w:szCs w:val="20"/>
                <w:lang w:eastAsia="en-US"/>
              </w:rPr>
            </w:pPr>
            <w:r w:rsidRPr="0088338F">
              <w:rPr>
                <w:rFonts w:ascii="Arial" w:hAnsi="Arial" w:cs="Arial"/>
                <w:b/>
                <w:bCs/>
                <w:sz w:val="20"/>
                <w:szCs w:val="20"/>
                <w:lang w:eastAsia="en-US"/>
              </w:rPr>
              <w:t>68 526</w:t>
            </w:r>
          </w:p>
        </w:tc>
        <w:tc>
          <w:tcPr>
            <w:tcW w:w="1537" w:type="dxa"/>
            <w:tcBorders>
              <w:top w:val="nil"/>
              <w:left w:val="nil"/>
              <w:bottom w:val="single" w:sz="4" w:space="0" w:color="FFFFFF"/>
              <w:right w:val="single" w:sz="4" w:space="0" w:color="FFFFFF"/>
            </w:tcBorders>
            <w:shd w:val="clear" w:color="auto" w:fill="auto"/>
            <w:noWrap/>
            <w:vAlign w:val="bottom"/>
          </w:tcPr>
          <w:p w14:paraId="36FEA6F9" w14:textId="4B5A72CE" w:rsidR="00952870" w:rsidRPr="0088338F" w:rsidRDefault="00952870" w:rsidP="00A45FE4">
            <w:pPr>
              <w:jc w:val="right"/>
              <w:rPr>
                <w:rFonts w:ascii="Arial" w:hAnsi="Arial" w:cs="Arial"/>
                <w:b/>
                <w:bCs/>
                <w:sz w:val="20"/>
                <w:szCs w:val="20"/>
                <w:lang w:eastAsia="en-US"/>
              </w:rPr>
            </w:pPr>
            <w:r w:rsidRPr="0088338F">
              <w:rPr>
                <w:rFonts w:ascii="Arial" w:hAnsi="Arial" w:cs="Arial"/>
                <w:b/>
                <w:bCs/>
                <w:sz w:val="20"/>
                <w:szCs w:val="20"/>
                <w:lang w:eastAsia="en-US"/>
              </w:rPr>
              <w:t>59 040</w:t>
            </w:r>
          </w:p>
        </w:tc>
      </w:tr>
      <w:tr w:rsidR="00952870" w:rsidRPr="0088338F" w14:paraId="3E5FD21F" w14:textId="77777777" w:rsidTr="00A45FE4">
        <w:trPr>
          <w:trHeight w:val="255"/>
        </w:trPr>
        <w:tc>
          <w:tcPr>
            <w:tcW w:w="5320" w:type="dxa"/>
            <w:tcBorders>
              <w:top w:val="nil"/>
              <w:left w:val="single" w:sz="4" w:space="0" w:color="FFFFFF"/>
              <w:bottom w:val="single" w:sz="4" w:space="0" w:color="FFFFFF"/>
              <w:right w:val="single" w:sz="4" w:space="0" w:color="FFFFFF"/>
            </w:tcBorders>
            <w:shd w:val="clear" w:color="auto" w:fill="auto"/>
            <w:noWrap/>
            <w:vAlign w:val="bottom"/>
          </w:tcPr>
          <w:p w14:paraId="73B053F2" w14:textId="77777777" w:rsidR="00952870" w:rsidRPr="0088338F" w:rsidRDefault="00952870" w:rsidP="00831995">
            <w:pPr>
              <w:rPr>
                <w:rFonts w:ascii="Arial" w:hAnsi="Arial" w:cs="Arial"/>
                <w:sz w:val="20"/>
                <w:szCs w:val="20"/>
                <w:lang w:eastAsia="en-US"/>
              </w:rPr>
            </w:pPr>
            <w:r w:rsidRPr="0088338F">
              <w:rPr>
                <w:rFonts w:ascii="Arial" w:hAnsi="Arial" w:cs="Arial"/>
                <w:sz w:val="20"/>
                <w:szCs w:val="20"/>
                <w:lang w:eastAsia="en-US"/>
              </w:rPr>
              <w:t> </w:t>
            </w:r>
          </w:p>
        </w:tc>
        <w:tc>
          <w:tcPr>
            <w:tcW w:w="922" w:type="dxa"/>
            <w:tcBorders>
              <w:top w:val="nil"/>
              <w:left w:val="nil"/>
              <w:bottom w:val="single" w:sz="4" w:space="0" w:color="FFFFFF"/>
              <w:right w:val="single" w:sz="4" w:space="0" w:color="FFFFFF"/>
            </w:tcBorders>
            <w:shd w:val="clear" w:color="auto" w:fill="auto"/>
            <w:noWrap/>
            <w:vAlign w:val="bottom"/>
          </w:tcPr>
          <w:p w14:paraId="4E916F3D" w14:textId="77777777" w:rsidR="00952870" w:rsidRPr="0088338F" w:rsidRDefault="00952870" w:rsidP="0069708B">
            <w:pPr>
              <w:jc w:val="right"/>
              <w:rPr>
                <w:rFonts w:ascii="Arial" w:hAnsi="Arial" w:cs="Arial"/>
                <w:sz w:val="20"/>
                <w:szCs w:val="20"/>
                <w:lang w:eastAsia="en-US"/>
              </w:rPr>
            </w:pPr>
          </w:p>
        </w:tc>
        <w:tc>
          <w:tcPr>
            <w:tcW w:w="1459" w:type="dxa"/>
            <w:tcBorders>
              <w:top w:val="nil"/>
              <w:left w:val="nil"/>
              <w:bottom w:val="single" w:sz="4" w:space="0" w:color="FFFFFF"/>
              <w:right w:val="single" w:sz="4" w:space="0" w:color="FFFFFF"/>
            </w:tcBorders>
            <w:shd w:val="clear" w:color="auto" w:fill="auto"/>
            <w:noWrap/>
            <w:vAlign w:val="bottom"/>
          </w:tcPr>
          <w:p w14:paraId="3C65489C" w14:textId="77777777" w:rsidR="00952870" w:rsidRPr="0088338F" w:rsidRDefault="00952870" w:rsidP="00A45FE4">
            <w:pPr>
              <w:jc w:val="right"/>
              <w:rPr>
                <w:rFonts w:ascii="Arial" w:hAnsi="Arial" w:cs="Arial"/>
                <w:sz w:val="20"/>
                <w:szCs w:val="20"/>
                <w:lang w:eastAsia="en-US"/>
              </w:rPr>
            </w:pPr>
          </w:p>
        </w:tc>
        <w:tc>
          <w:tcPr>
            <w:tcW w:w="1537" w:type="dxa"/>
            <w:tcBorders>
              <w:top w:val="nil"/>
              <w:left w:val="nil"/>
              <w:bottom w:val="single" w:sz="4" w:space="0" w:color="FFFFFF"/>
              <w:right w:val="single" w:sz="4" w:space="0" w:color="FFFFFF"/>
            </w:tcBorders>
            <w:shd w:val="clear" w:color="auto" w:fill="auto"/>
            <w:noWrap/>
            <w:vAlign w:val="bottom"/>
          </w:tcPr>
          <w:p w14:paraId="149F4D29" w14:textId="77777777" w:rsidR="00952870" w:rsidRPr="0088338F" w:rsidRDefault="00952870" w:rsidP="00A45FE4">
            <w:pPr>
              <w:jc w:val="right"/>
              <w:rPr>
                <w:rFonts w:ascii="Arial" w:hAnsi="Arial" w:cs="Arial"/>
                <w:sz w:val="20"/>
                <w:szCs w:val="20"/>
                <w:lang w:eastAsia="en-US"/>
              </w:rPr>
            </w:pPr>
          </w:p>
        </w:tc>
      </w:tr>
      <w:tr w:rsidR="00952870" w:rsidRPr="0088338F" w14:paraId="29AC74C8" w14:textId="77777777" w:rsidTr="00A45FE4">
        <w:trPr>
          <w:trHeight w:val="315"/>
        </w:trPr>
        <w:tc>
          <w:tcPr>
            <w:tcW w:w="5320" w:type="dxa"/>
            <w:tcBorders>
              <w:top w:val="single" w:sz="4" w:space="0" w:color="FFFFFF"/>
              <w:left w:val="single" w:sz="4" w:space="0" w:color="FFFFFF"/>
              <w:bottom w:val="single" w:sz="12" w:space="0" w:color="auto"/>
              <w:right w:val="single" w:sz="4" w:space="0" w:color="FFFFFF"/>
            </w:tcBorders>
            <w:shd w:val="clear" w:color="auto" w:fill="auto"/>
            <w:noWrap/>
            <w:vAlign w:val="bottom"/>
          </w:tcPr>
          <w:p w14:paraId="7D0CB9E3" w14:textId="77777777" w:rsidR="00952870" w:rsidRPr="0088338F" w:rsidRDefault="00952870" w:rsidP="00831995">
            <w:pPr>
              <w:rPr>
                <w:rFonts w:ascii="Arial" w:hAnsi="Arial" w:cs="Arial"/>
                <w:b/>
                <w:bCs/>
                <w:sz w:val="22"/>
                <w:szCs w:val="22"/>
                <w:lang w:eastAsia="en-US"/>
              </w:rPr>
            </w:pPr>
            <w:r w:rsidRPr="0088338F">
              <w:rPr>
                <w:rFonts w:ascii="Arial" w:hAnsi="Arial" w:cs="Arial"/>
                <w:b/>
                <w:bCs/>
                <w:sz w:val="22"/>
                <w:szCs w:val="22"/>
                <w:lang w:eastAsia="en-US"/>
              </w:rPr>
              <w:t>Záväzky a vlastné imanie celkom</w:t>
            </w:r>
          </w:p>
        </w:tc>
        <w:tc>
          <w:tcPr>
            <w:tcW w:w="922" w:type="dxa"/>
            <w:tcBorders>
              <w:top w:val="single" w:sz="4" w:space="0" w:color="FFFFFF"/>
              <w:left w:val="nil"/>
              <w:bottom w:val="single" w:sz="12" w:space="0" w:color="auto"/>
              <w:right w:val="single" w:sz="4" w:space="0" w:color="FFFFFF"/>
            </w:tcBorders>
            <w:shd w:val="clear" w:color="auto" w:fill="auto"/>
            <w:noWrap/>
            <w:vAlign w:val="bottom"/>
          </w:tcPr>
          <w:p w14:paraId="6C44365E" w14:textId="77777777" w:rsidR="00952870" w:rsidRPr="0088338F" w:rsidRDefault="00952870" w:rsidP="0069708B">
            <w:pPr>
              <w:jc w:val="right"/>
              <w:rPr>
                <w:rFonts w:ascii="Arial" w:hAnsi="Arial" w:cs="Arial"/>
                <w:sz w:val="20"/>
                <w:szCs w:val="20"/>
                <w:lang w:eastAsia="en-US"/>
              </w:rPr>
            </w:pPr>
          </w:p>
        </w:tc>
        <w:tc>
          <w:tcPr>
            <w:tcW w:w="1459" w:type="dxa"/>
            <w:tcBorders>
              <w:top w:val="single" w:sz="4" w:space="0" w:color="FFFFFF"/>
              <w:left w:val="nil"/>
              <w:bottom w:val="single" w:sz="12" w:space="0" w:color="auto"/>
              <w:right w:val="single" w:sz="4" w:space="0" w:color="FFFFFF"/>
            </w:tcBorders>
            <w:shd w:val="clear" w:color="auto" w:fill="auto"/>
            <w:noWrap/>
            <w:vAlign w:val="bottom"/>
          </w:tcPr>
          <w:p w14:paraId="0FE6AC90" w14:textId="790994C9" w:rsidR="00952870" w:rsidRPr="0088338F" w:rsidRDefault="00A51166" w:rsidP="00A45FE4">
            <w:pPr>
              <w:jc w:val="right"/>
              <w:rPr>
                <w:rFonts w:ascii="Arial" w:hAnsi="Arial" w:cs="Arial"/>
                <w:b/>
                <w:bCs/>
                <w:sz w:val="22"/>
                <w:szCs w:val="22"/>
                <w:lang w:eastAsia="en-US"/>
              </w:rPr>
            </w:pPr>
            <w:r w:rsidRPr="0088338F">
              <w:rPr>
                <w:rFonts w:ascii="Arial" w:hAnsi="Arial" w:cs="Arial"/>
                <w:b/>
                <w:bCs/>
                <w:sz w:val="22"/>
                <w:szCs w:val="22"/>
                <w:lang w:eastAsia="en-US"/>
              </w:rPr>
              <w:t>618 680</w:t>
            </w:r>
          </w:p>
        </w:tc>
        <w:tc>
          <w:tcPr>
            <w:tcW w:w="1537" w:type="dxa"/>
            <w:tcBorders>
              <w:top w:val="single" w:sz="4" w:space="0" w:color="FFFFFF"/>
              <w:left w:val="nil"/>
              <w:bottom w:val="single" w:sz="12" w:space="0" w:color="auto"/>
              <w:right w:val="single" w:sz="4" w:space="0" w:color="FFFFFF"/>
            </w:tcBorders>
            <w:shd w:val="clear" w:color="auto" w:fill="auto"/>
            <w:noWrap/>
            <w:vAlign w:val="bottom"/>
          </w:tcPr>
          <w:p w14:paraId="1F76BFE5" w14:textId="762CD104" w:rsidR="00952870" w:rsidRPr="0088338F" w:rsidRDefault="00952870" w:rsidP="00A45FE4">
            <w:pPr>
              <w:jc w:val="right"/>
              <w:rPr>
                <w:rFonts w:ascii="Arial" w:hAnsi="Arial" w:cs="Arial"/>
                <w:b/>
                <w:bCs/>
                <w:sz w:val="22"/>
                <w:szCs w:val="22"/>
                <w:lang w:eastAsia="en-US"/>
              </w:rPr>
            </w:pPr>
            <w:r w:rsidRPr="0088338F">
              <w:rPr>
                <w:rFonts w:ascii="Arial" w:hAnsi="Arial" w:cs="Arial"/>
                <w:b/>
                <w:bCs/>
                <w:sz w:val="22"/>
                <w:szCs w:val="22"/>
                <w:lang w:eastAsia="en-US"/>
              </w:rPr>
              <w:t>595 266</w:t>
            </w:r>
          </w:p>
        </w:tc>
      </w:tr>
    </w:tbl>
    <w:p w14:paraId="5808E629" w14:textId="77777777" w:rsidR="00410E96" w:rsidRPr="0088338F" w:rsidRDefault="00410E96" w:rsidP="00494C18">
      <w:pPr>
        <w:jc w:val="both"/>
        <w:rPr>
          <w:rFonts w:ascii="Arial" w:hAnsi="Arial" w:cs="Arial"/>
          <w:sz w:val="20"/>
          <w:szCs w:val="20"/>
        </w:rPr>
      </w:pPr>
    </w:p>
    <w:p w14:paraId="68729400" w14:textId="1E5072A9" w:rsidR="00E2177B" w:rsidRPr="0088338F" w:rsidRDefault="00E2177B" w:rsidP="00CD4D1E">
      <w:pPr>
        <w:jc w:val="both"/>
        <w:rPr>
          <w:rFonts w:ascii="Arial" w:hAnsi="Arial" w:cs="Arial"/>
          <w:sz w:val="20"/>
          <w:szCs w:val="20"/>
        </w:rPr>
      </w:pPr>
      <w:r w:rsidRPr="0088338F">
        <w:rPr>
          <w:rFonts w:ascii="Arial" w:hAnsi="Arial" w:cs="Arial"/>
          <w:sz w:val="20"/>
          <w:szCs w:val="20"/>
        </w:rPr>
        <w:t xml:space="preserve">Poznámky na stranách </w:t>
      </w:r>
      <w:r w:rsidR="00327938" w:rsidRPr="0088338F">
        <w:rPr>
          <w:rFonts w:ascii="Arial" w:hAnsi="Arial" w:cs="Arial"/>
          <w:sz w:val="20"/>
          <w:szCs w:val="20"/>
        </w:rPr>
        <w:t>12</w:t>
      </w:r>
      <w:r w:rsidRPr="0088338F">
        <w:rPr>
          <w:rFonts w:ascii="Arial" w:hAnsi="Arial" w:cs="Arial"/>
          <w:sz w:val="20"/>
          <w:szCs w:val="20"/>
        </w:rPr>
        <w:t xml:space="preserve"> až </w:t>
      </w:r>
      <w:r w:rsidR="00327938" w:rsidRPr="0088338F">
        <w:rPr>
          <w:rStyle w:val="PageNumber"/>
          <w:rFonts w:ascii="Arial" w:hAnsi="Arial" w:cs="Arial"/>
          <w:sz w:val="20"/>
          <w:szCs w:val="20"/>
        </w:rPr>
        <w:t>76</w:t>
      </w:r>
      <w:r w:rsidR="007179AA" w:rsidRPr="0088338F">
        <w:rPr>
          <w:rStyle w:val="PageNumber"/>
          <w:rFonts w:ascii="Arial" w:hAnsi="Arial" w:cs="Arial"/>
          <w:sz w:val="20"/>
          <w:szCs w:val="20"/>
        </w:rPr>
        <w:t xml:space="preserve"> </w:t>
      </w:r>
      <w:r w:rsidRPr="0088338F">
        <w:rPr>
          <w:rStyle w:val="PageNumber"/>
          <w:rFonts w:ascii="Arial" w:hAnsi="Arial" w:cs="Arial"/>
          <w:sz w:val="20"/>
          <w:szCs w:val="20"/>
        </w:rPr>
        <w:t>sú súčasťou tejto účtovnej závierky</w:t>
      </w:r>
      <w:r w:rsidR="00DC32CA" w:rsidRPr="0088338F">
        <w:rPr>
          <w:rStyle w:val="PageNumber"/>
          <w:rFonts w:ascii="Arial" w:hAnsi="Arial" w:cs="Arial"/>
          <w:sz w:val="20"/>
          <w:szCs w:val="20"/>
        </w:rPr>
        <w:t>.</w:t>
      </w:r>
    </w:p>
    <w:p w14:paraId="0EA4AD6D" w14:textId="77777777" w:rsidR="00C35A8B" w:rsidRPr="0088338F" w:rsidRDefault="00C35A8B" w:rsidP="00CD4D1E">
      <w:pPr>
        <w:jc w:val="both"/>
        <w:rPr>
          <w:rFonts w:ascii="Arial" w:hAnsi="Arial" w:cs="Arial"/>
          <w:sz w:val="20"/>
          <w:szCs w:val="20"/>
        </w:rPr>
      </w:pPr>
    </w:p>
    <w:p w14:paraId="5E9DF7E0" w14:textId="77777777" w:rsidR="00C614A6" w:rsidRPr="0088338F" w:rsidRDefault="00C614A6" w:rsidP="00CD4D1E">
      <w:pPr>
        <w:jc w:val="both"/>
        <w:rPr>
          <w:rFonts w:ascii="Arial" w:hAnsi="Arial" w:cs="Arial"/>
          <w:sz w:val="20"/>
          <w:szCs w:val="20"/>
        </w:rPr>
        <w:sectPr w:rsidR="00C614A6" w:rsidRPr="0088338F" w:rsidSect="00327938">
          <w:headerReference w:type="default" r:id="rId17"/>
          <w:footerReference w:type="default" r:id="rId18"/>
          <w:pgSz w:w="11906" w:h="16838"/>
          <w:pgMar w:top="1417" w:right="1417" w:bottom="1417" w:left="1417" w:header="708" w:footer="708" w:gutter="0"/>
          <w:pgNumType w:start="7"/>
          <w:cols w:space="708"/>
          <w:docGrid w:linePitch="360"/>
        </w:sectPr>
      </w:pPr>
    </w:p>
    <w:p w14:paraId="6D3B3EF0" w14:textId="77777777" w:rsidR="00D96D0F" w:rsidRPr="0088338F" w:rsidRDefault="00D96D0F" w:rsidP="00833FFD">
      <w:pPr>
        <w:jc w:val="center"/>
        <w:rPr>
          <w:szCs w:val="20"/>
        </w:rPr>
      </w:pPr>
    </w:p>
    <w:tbl>
      <w:tblPr>
        <w:tblW w:w="9138" w:type="dxa"/>
        <w:tblInd w:w="103" w:type="dxa"/>
        <w:tblLook w:val="04A0" w:firstRow="1" w:lastRow="0" w:firstColumn="1" w:lastColumn="0" w:noHBand="0" w:noVBand="1"/>
      </w:tblPr>
      <w:tblGrid>
        <w:gridCol w:w="5403"/>
        <w:gridCol w:w="739"/>
        <w:gridCol w:w="1376"/>
        <w:gridCol w:w="1620"/>
      </w:tblGrid>
      <w:tr w:rsidR="00D96D0F" w:rsidRPr="0088338F" w14:paraId="3163048C" w14:textId="77777777" w:rsidTr="00AE23E4">
        <w:trPr>
          <w:trHeight w:val="510"/>
        </w:trPr>
        <w:tc>
          <w:tcPr>
            <w:tcW w:w="5403" w:type="dxa"/>
            <w:tcBorders>
              <w:top w:val="single" w:sz="12" w:space="0" w:color="auto"/>
              <w:left w:val="single" w:sz="4" w:space="0" w:color="FFFFFF"/>
              <w:bottom w:val="single" w:sz="4" w:space="0" w:color="auto"/>
              <w:right w:val="single" w:sz="4" w:space="0" w:color="FFFFFF"/>
            </w:tcBorders>
            <w:shd w:val="clear" w:color="auto" w:fill="auto"/>
            <w:noWrap/>
            <w:vAlign w:val="bottom"/>
          </w:tcPr>
          <w:p w14:paraId="14EA72FA" w14:textId="77777777" w:rsidR="00D96D0F" w:rsidRPr="0088338F" w:rsidRDefault="00D96D0F" w:rsidP="00D96D0F">
            <w:pPr>
              <w:rPr>
                <w:rFonts w:ascii="Arial" w:hAnsi="Arial" w:cs="Arial"/>
                <w:b/>
                <w:bCs/>
                <w:sz w:val="20"/>
                <w:szCs w:val="20"/>
                <w:lang w:eastAsia="en-US"/>
              </w:rPr>
            </w:pPr>
            <w:bookmarkStart w:id="1" w:name="RANGE!A2:D36"/>
            <w:r w:rsidRPr="0088338F">
              <w:rPr>
                <w:rFonts w:ascii="Arial" w:hAnsi="Arial" w:cs="Arial"/>
                <w:b/>
                <w:bCs/>
                <w:sz w:val="20"/>
                <w:szCs w:val="20"/>
                <w:lang w:eastAsia="en-US"/>
              </w:rPr>
              <w:t> </w:t>
            </w:r>
            <w:bookmarkEnd w:id="1"/>
          </w:p>
        </w:tc>
        <w:tc>
          <w:tcPr>
            <w:tcW w:w="739" w:type="dxa"/>
            <w:tcBorders>
              <w:top w:val="single" w:sz="12" w:space="0" w:color="auto"/>
              <w:left w:val="nil"/>
              <w:bottom w:val="single" w:sz="4" w:space="0" w:color="auto"/>
              <w:right w:val="single" w:sz="4" w:space="0" w:color="FFFFFF"/>
            </w:tcBorders>
            <w:shd w:val="clear" w:color="auto" w:fill="auto"/>
            <w:vAlign w:val="bottom"/>
          </w:tcPr>
          <w:p w14:paraId="0149A8FB" w14:textId="77777777" w:rsidR="00D96D0F" w:rsidRPr="0088338F" w:rsidRDefault="00D96D0F" w:rsidP="00D96D0F">
            <w:pPr>
              <w:jc w:val="right"/>
              <w:rPr>
                <w:rFonts w:ascii="Arial" w:hAnsi="Arial" w:cs="Arial"/>
                <w:b/>
                <w:bCs/>
                <w:sz w:val="20"/>
                <w:szCs w:val="20"/>
                <w:lang w:eastAsia="en-US"/>
              </w:rPr>
            </w:pPr>
            <w:r w:rsidRPr="0088338F">
              <w:rPr>
                <w:rFonts w:ascii="Arial" w:hAnsi="Arial" w:cs="Arial"/>
                <w:b/>
                <w:bCs/>
                <w:sz w:val="20"/>
                <w:szCs w:val="20"/>
                <w:lang w:eastAsia="en-US"/>
              </w:rPr>
              <w:t>Bod.</w:t>
            </w:r>
            <w:r w:rsidRPr="0088338F">
              <w:rPr>
                <w:rFonts w:ascii="Arial" w:hAnsi="Arial" w:cs="Arial"/>
                <w:b/>
                <w:bCs/>
                <w:sz w:val="20"/>
                <w:szCs w:val="20"/>
                <w:lang w:eastAsia="en-US"/>
              </w:rPr>
              <w:br/>
              <w:t>pozn.</w:t>
            </w:r>
          </w:p>
        </w:tc>
        <w:tc>
          <w:tcPr>
            <w:tcW w:w="1376" w:type="dxa"/>
            <w:tcBorders>
              <w:top w:val="single" w:sz="12" w:space="0" w:color="auto"/>
              <w:left w:val="nil"/>
              <w:bottom w:val="single" w:sz="4" w:space="0" w:color="auto"/>
              <w:right w:val="single" w:sz="4" w:space="0" w:color="FFFFFF"/>
            </w:tcBorders>
            <w:shd w:val="clear" w:color="auto" w:fill="auto"/>
            <w:vAlign w:val="bottom"/>
          </w:tcPr>
          <w:p w14:paraId="01E45597" w14:textId="088C5251" w:rsidR="00D96D0F" w:rsidRPr="0088338F" w:rsidRDefault="00D96D0F" w:rsidP="00952870">
            <w:pPr>
              <w:jc w:val="right"/>
              <w:rPr>
                <w:rFonts w:ascii="Arial" w:hAnsi="Arial" w:cs="Arial"/>
                <w:b/>
                <w:bCs/>
                <w:sz w:val="20"/>
                <w:szCs w:val="20"/>
                <w:lang w:eastAsia="en-US"/>
              </w:rPr>
            </w:pPr>
            <w:r w:rsidRPr="0088338F">
              <w:rPr>
                <w:rFonts w:ascii="Arial" w:hAnsi="Arial" w:cs="Arial"/>
                <w:b/>
                <w:bCs/>
                <w:sz w:val="20"/>
                <w:szCs w:val="20"/>
                <w:lang w:eastAsia="en-US"/>
              </w:rPr>
              <w:t>20</w:t>
            </w:r>
            <w:r w:rsidR="00AE23E4" w:rsidRPr="0088338F">
              <w:rPr>
                <w:rFonts w:ascii="Arial" w:hAnsi="Arial" w:cs="Arial"/>
                <w:b/>
                <w:bCs/>
                <w:sz w:val="20"/>
                <w:szCs w:val="20"/>
                <w:lang w:eastAsia="en-US"/>
              </w:rPr>
              <w:t>1</w:t>
            </w:r>
            <w:r w:rsidR="00952870" w:rsidRPr="0088338F">
              <w:rPr>
                <w:rFonts w:ascii="Arial" w:hAnsi="Arial" w:cs="Arial"/>
                <w:b/>
                <w:bCs/>
                <w:sz w:val="20"/>
                <w:szCs w:val="20"/>
                <w:lang w:eastAsia="en-US"/>
              </w:rPr>
              <w:t>6</w:t>
            </w:r>
            <w:r w:rsidRPr="0088338F">
              <w:rPr>
                <w:rFonts w:ascii="Arial" w:hAnsi="Arial" w:cs="Arial"/>
                <w:b/>
                <w:bCs/>
                <w:sz w:val="20"/>
                <w:szCs w:val="20"/>
                <w:lang w:eastAsia="en-US"/>
              </w:rPr>
              <w:br/>
              <w:t xml:space="preserve">tis. </w:t>
            </w:r>
            <w:r w:rsidR="00E00020" w:rsidRPr="0088338F">
              <w:rPr>
                <w:rFonts w:ascii="Arial" w:hAnsi="Arial" w:cs="Arial"/>
                <w:b/>
                <w:bCs/>
                <w:sz w:val="20"/>
                <w:szCs w:val="20"/>
                <w:lang w:eastAsia="en-US"/>
              </w:rPr>
              <w:t>EUR</w:t>
            </w:r>
          </w:p>
        </w:tc>
        <w:tc>
          <w:tcPr>
            <w:tcW w:w="1620" w:type="dxa"/>
            <w:tcBorders>
              <w:top w:val="single" w:sz="12" w:space="0" w:color="auto"/>
              <w:left w:val="nil"/>
              <w:bottom w:val="single" w:sz="4" w:space="0" w:color="auto"/>
              <w:right w:val="single" w:sz="4" w:space="0" w:color="FFFFFF"/>
            </w:tcBorders>
            <w:shd w:val="clear" w:color="auto" w:fill="auto"/>
            <w:vAlign w:val="bottom"/>
          </w:tcPr>
          <w:p w14:paraId="2FB4425F" w14:textId="210B5FF2" w:rsidR="00D96D0F" w:rsidRPr="0088338F" w:rsidRDefault="00D96D0F" w:rsidP="00952870">
            <w:pPr>
              <w:jc w:val="right"/>
              <w:rPr>
                <w:rFonts w:ascii="Arial" w:hAnsi="Arial" w:cs="Arial"/>
                <w:b/>
                <w:bCs/>
                <w:sz w:val="20"/>
                <w:szCs w:val="20"/>
                <w:lang w:eastAsia="en-US"/>
              </w:rPr>
            </w:pPr>
            <w:r w:rsidRPr="0088338F">
              <w:rPr>
                <w:rFonts w:ascii="Arial" w:hAnsi="Arial" w:cs="Arial"/>
                <w:b/>
                <w:bCs/>
                <w:sz w:val="20"/>
                <w:szCs w:val="20"/>
                <w:lang w:eastAsia="en-US"/>
              </w:rPr>
              <w:t>20</w:t>
            </w:r>
            <w:r w:rsidR="002B5A2E" w:rsidRPr="0088338F">
              <w:rPr>
                <w:rFonts w:ascii="Arial" w:hAnsi="Arial" w:cs="Arial"/>
                <w:b/>
                <w:bCs/>
                <w:sz w:val="20"/>
                <w:szCs w:val="20"/>
                <w:lang w:eastAsia="en-US"/>
              </w:rPr>
              <w:t>1</w:t>
            </w:r>
            <w:r w:rsidR="00952870" w:rsidRPr="0088338F">
              <w:rPr>
                <w:rFonts w:ascii="Arial" w:hAnsi="Arial" w:cs="Arial"/>
                <w:b/>
                <w:bCs/>
                <w:sz w:val="20"/>
                <w:szCs w:val="20"/>
                <w:lang w:eastAsia="en-US"/>
              </w:rPr>
              <w:t>5</w:t>
            </w:r>
            <w:r w:rsidRPr="0088338F">
              <w:rPr>
                <w:rFonts w:ascii="Arial" w:hAnsi="Arial" w:cs="Arial"/>
                <w:b/>
                <w:bCs/>
                <w:sz w:val="20"/>
                <w:szCs w:val="20"/>
                <w:lang w:eastAsia="en-US"/>
              </w:rPr>
              <w:br/>
              <w:t xml:space="preserve">tis. </w:t>
            </w:r>
            <w:r w:rsidR="00E00020" w:rsidRPr="0088338F">
              <w:rPr>
                <w:rFonts w:ascii="Arial" w:hAnsi="Arial" w:cs="Arial"/>
                <w:b/>
                <w:bCs/>
                <w:sz w:val="20"/>
                <w:szCs w:val="20"/>
                <w:lang w:eastAsia="en-US"/>
              </w:rPr>
              <w:t>EUR</w:t>
            </w:r>
          </w:p>
        </w:tc>
      </w:tr>
      <w:tr w:rsidR="008D486F" w:rsidRPr="0088338F" w14:paraId="0696F53A" w14:textId="77777777" w:rsidTr="00D9560D">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3EB24BBC" w14:textId="77777777" w:rsidR="008D486F" w:rsidRPr="0088338F" w:rsidRDefault="008D486F" w:rsidP="00D96D0F">
            <w:pPr>
              <w:rPr>
                <w:rFonts w:ascii="Arial" w:hAnsi="Arial" w:cs="Arial"/>
                <w:sz w:val="20"/>
                <w:szCs w:val="20"/>
                <w:lang w:eastAsia="en-US"/>
              </w:rPr>
            </w:pPr>
          </w:p>
        </w:tc>
        <w:tc>
          <w:tcPr>
            <w:tcW w:w="739" w:type="dxa"/>
            <w:tcBorders>
              <w:top w:val="nil"/>
              <w:left w:val="nil"/>
              <w:bottom w:val="single" w:sz="4" w:space="0" w:color="FFFFFF"/>
              <w:right w:val="single" w:sz="4" w:space="0" w:color="FFFFFF"/>
            </w:tcBorders>
            <w:shd w:val="clear" w:color="auto" w:fill="auto"/>
            <w:noWrap/>
            <w:vAlign w:val="bottom"/>
          </w:tcPr>
          <w:p w14:paraId="59103776" w14:textId="77777777" w:rsidR="008D486F" w:rsidRPr="0088338F" w:rsidRDefault="008D486F" w:rsidP="00D96D0F">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5E2C8906" w14:textId="77777777" w:rsidR="008D486F" w:rsidRPr="0088338F" w:rsidRDefault="008D486F" w:rsidP="00D96D0F">
            <w:pPr>
              <w:jc w:val="right"/>
              <w:rPr>
                <w:rFonts w:ascii="Arial" w:hAnsi="Arial" w:cs="Arial"/>
                <w:sz w:val="20"/>
                <w:szCs w:val="20"/>
                <w:lang w:eastAsia="en-US"/>
              </w:rPr>
            </w:pPr>
          </w:p>
        </w:tc>
        <w:tc>
          <w:tcPr>
            <w:tcW w:w="1620" w:type="dxa"/>
            <w:tcBorders>
              <w:top w:val="nil"/>
              <w:left w:val="nil"/>
              <w:bottom w:val="single" w:sz="4" w:space="0" w:color="FFFFFF"/>
              <w:right w:val="single" w:sz="4" w:space="0" w:color="FFFFFF"/>
            </w:tcBorders>
            <w:shd w:val="clear" w:color="auto" w:fill="auto"/>
            <w:noWrap/>
            <w:vAlign w:val="bottom"/>
          </w:tcPr>
          <w:p w14:paraId="6D919F3E" w14:textId="77777777" w:rsidR="008D486F" w:rsidRPr="0088338F" w:rsidRDefault="008D486F" w:rsidP="00D96D0F">
            <w:pPr>
              <w:jc w:val="right"/>
              <w:rPr>
                <w:rFonts w:ascii="Arial" w:hAnsi="Arial" w:cs="Arial"/>
                <w:sz w:val="20"/>
                <w:szCs w:val="20"/>
                <w:lang w:eastAsia="en-US"/>
              </w:rPr>
            </w:pPr>
          </w:p>
        </w:tc>
      </w:tr>
      <w:tr w:rsidR="00952870" w:rsidRPr="0088338F" w14:paraId="7914CBCA"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684A7488"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Úrokové výnosy a obdobné výnosy</w:t>
            </w:r>
          </w:p>
        </w:tc>
        <w:tc>
          <w:tcPr>
            <w:tcW w:w="739" w:type="dxa"/>
            <w:tcBorders>
              <w:top w:val="nil"/>
              <w:left w:val="nil"/>
              <w:bottom w:val="single" w:sz="4" w:space="0" w:color="FFFFFF"/>
              <w:right w:val="single" w:sz="4" w:space="0" w:color="FFFFFF"/>
            </w:tcBorders>
            <w:shd w:val="clear" w:color="auto" w:fill="auto"/>
            <w:noWrap/>
            <w:vAlign w:val="bottom"/>
          </w:tcPr>
          <w:p w14:paraId="0B6563AB" w14:textId="77777777" w:rsidR="00952870" w:rsidRPr="0088338F" w:rsidRDefault="00952870" w:rsidP="00E00020">
            <w:pPr>
              <w:jc w:val="right"/>
              <w:rPr>
                <w:rFonts w:ascii="Arial" w:hAnsi="Arial" w:cs="Arial"/>
                <w:sz w:val="20"/>
                <w:szCs w:val="20"/>
                <w:lang w:eastAsia="en-US"/>
              </w:rPr>
            </w:pPr>
            <w:r w:rsidRPr="0088338F">
              <w:rPr>
                <w:rFonts w:ascii="Arial" w:hAnsi="Arial" w:cs="Arial"/>
                <w:sz w:val="20"/>
                <w:szCs w:val="20"/>
                <w:lang w:eastAsia="en-US"/>
              </w:rPr>
              <w:t>26.</w:t>
            </w:r>
          </w:p>
        </w:tc>
        <w:tc>
          <w:tcPr>
            <w:tcW w:w="1376" w:type="dxa"/>
            <w:tcBorders>
              <w:top w:val="nil"/>
              <w:left w:val="nil"/>
              <w:bottom w:val="single" w:sz="4" w:space="0" w:color="FFFFFF"/>
              <w:right w:val="single" w:sz="4" w:space="0" w:color="FFFFFF"/>
            </w:tcBorders>
            <w:shd w:val="clear" w:color="auto" w:fill="auto"/>
            <w:noWrap/>
            <w:vAlign w:val="bottom"/>
          </w:tcPr>
          <w:p w14:paraId="4BAD5DEE" w14:textId="3766A57E" w:rsidR="00952870" w:rsidRPr="0088338F" w:rsidRDefault="009F24BA" w:rsidP="00A45FE4">
            <w:pPr>
              <w:jc w:val="right"/>
              <w:rPr>
                <w:rFonts w:ascii="Arial" w:hAnsi="Arial" w:cs="Arial"/>
                <w:sz w:val="20"/>
                <w:szCs w:val="20"/>
                <w:lang w:eastAsia="en-US"/>
              </w:rPr>
            </w:pPr>
            <w:r w:rsidRPr="0088338F">
              <w:rPr>
                <w:rFonts w:ascii="Arial" w:hAnsi="Arial" w:cs="Arial"/>
                <w:sz w:val="20"/>
                <w:szCs w:val="20"/>
                <w:lang w:eastAsia="en-US"/>
              </w:rPr>
              <w:t>18 987</w:t>
            </w:r>
          </w:p>
        </w:tc>
        <w:tc>
          <w:tcPr>
            <w:tcW w:w="1620" w:type="dxa"/>
            <w:tcBorders>
              <w:top w:val="nil"/>
              <w:left w:val="nil"/>
              <w:bottom w:val="single" w:sz="4" w:space="0" w:color="FFFFFF"/>
              <w:right w:val="single" w:sz="4" w:space="0" w:color="FFFFFF"/>
            </w:tcBorders>
            <w:shd w:val="clear" w:color="auto" w:fill="auto"/>
            <w:noWrap/>
            <w:vAlign w:val="bottom"/>
          </w:tcPr>
          <w:p w14:paraId="54F93FE3" w14:textId="48B6AB24"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21 636</w:t>
            </w:r>
          </w:p>
        </w:tc>
      </w:tr>
      <w:tr w:rsidR="00952870" w:rsidRPr="0088338F" w14:paraId="03116987"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2DDB0CE7"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Úrokové náklady a obdobné náklady</w:t>
            </w:r>
          </w:p>
        </w:tc>
        <w:tc>
          <w:tcPr>
            <w:tcW w:w="739" w:type="dxa"/>
            <w:tcBorders>
              <w:top w:val="nil"/>
              <w:left w:val="nil"/>
              <w:bottom w:val="single" w:sz="4" w:space="0" w:color="FFFFFF"/>
              <w:right w:val="single" w:sz="4" w:space="0" w:color="FFFFFF"/>
            </w:tcBorders>
            <w:shd w:val="clear" w:color="auto" w:fill="auto"/>
            <w:noWrap/>
            <w:vAlign w:val="bottom"/>
          </w:tcPr>
          <w:p w14:paraId="478AD1F5" w14:textId="77777777" w:rsidR="00952870" w:rsidRPr="0088338F" w:rsidRDefault="00952870" w:rsidP="00E00020">
            <w:pPr>
              <w:jc w:val="right"/>
              <w:rPr>
                <w:rFonts w:ascii="Arial" w:hAnsi="Arial" w:cs="Arial"/>
                <w:sz w:val="20"/>
                <w:szCs w:val="20"/>
                <w:lang w:eastAsia="en-US"/>
              </w:rPr>
            </w:pPr>
            <w:r w:rsidRPr="0088338F">
              <w:rPr>
                <w:rFonts w:ascii="Arial" w:hAnsi="Arial" w:cs="Arial"/>
                <w:sz w:val="20"/>
                <w:szCs w:val="20"/>
                <w:lang w:eastAsia="en-US"/>
              </w:rPr>
              <w:t>27.</w:t>
            </w:r>
          </w:p>
        </w:tc>
        <w:tc>
          <w:tcPr>
            <w:tcW w:w="1376" w:type="dxa"/>
            <w:tcBorders>
              <w:top w:val="nil"/>
              <w:left w:val="nil"/>
              <w:bottom w:val="single" w:sz="4" w:space="0" w:color="FFFFFF"/>
              <w:right w:val="single" w:sz="4" w:space="0" w:color="FFFFFF"/>
            </w:tcBorders>
            <w:shd w:val="clear" w:color="auto" w:fill="auto"/>
            <w:noWrap/>
            <w:vAlign w:val="bottom"/>
          </w:tcPr>
          <w:p w14:paraId="33A58E41" w14:textId="1E1C510D" w:rsidR="00952870" w:rsidRPr="0088338F" w:rsidRDefault="009F24BA" w:rsidP="00A45FE4">
            <w:pPr>
              <w:ind w:right="-57"/>
              <w:jc w:val="right"/>
              <w:rPr>
                <w:rFonts w:ascii="Arial" w:hAnsi="Arial" w:cs="Arial"/>
                <w:sz w:val="20"/>
                <w:szCs w:val="20"/>
                <w:lang w:eastAsia="en-US"/>
              </w:rPr>
            </w:pPr>
            <w:r w:rsidRPr="0088338F">
              <w:rPr>
                <w:rFonts w:ascii="Arial" w:hAnsi="Arial" w:cs="Arial"/>
                <w:sz w:val="20"/>
                <w:szCs w:val="20"/>
                <w:lang w:eastAsia="en-US"/>
              </w:rPr>
              <w:t>(7 418)</w:t>
            </w:r>
          </w:p>
        </w:tc>
        <w:tc>
          <w:tcPr>
            <w:tcW w:w="1620" w:type="dxa"/>
            <w:tcBorders>
              <w:top w:val="nil"/>
              <w:left w:val="nil"/>
              <w:bottom w:val="single" w:sz="4" w:space="0" w:color="FFFFFF"/>
              <w:right w:val="single" w:sz="4" w:space="0" w:color="FFFFFF"/>
            </w:tcBorders>
            <w:shd w:val="clear" w:color="auto" w:fill="auto"/>
            <w:noWrap/>
            <w:vAlign w:val="bottom"/>
          </w:tcPr>
          <w:p w14:paraId="714F1CD1" w14:textId="2E4576D4" w:rsidR="00952870" w:rsidRPr="0088338F" w:rsidRDefault="00952870" w:rsidP="00A45FE4">
            <w:pPr>
              <w:ind w:right="-57"/>
              <w:jc w:val="right"/>
              <w:rPr>
                <w:rFonts w:ascii="Arial" w:hAnsi="Arial" w:cs="Arial"/>
                <w:sz w:val="20"/>
                <w:szCs w:val="20"/>
                <w:lang w:eastAsia="en-US"/>
              </w:rPr>
            </w:pPr>
            <w:r w:rsidRPr="0088338F">
              <w:rPr>
                <w:rFonts w:ascii="Arial" w:hAnsi="Arial" w:cs="Arial"/>
                <w:sz w:val="20"/>
                <w:szCs w:val="20"/>
                <w:lang w:eastAsia="en-US"/>
              </w:rPr>
              <w:t>(7 459)</w:t>
            </w:r>
          </w:p>
        </w:tc>
      </w:tr>
      <w:tr w:rsidR="00952870" w:rsidRPr="0088338F" w14:paraId="213312B8"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4E0A0D39" w14:textId="77777777" w:rsidR="00952870" w:rsidRPr="0088338F" w:rsidRDefault="00952870" w:rsidP="00D96D0F">
            <w:pPr>
              <w:rPr>
                <w:rFonts w:ascii="Arial" w:hAnsi="Arial" w:cs="Arial"/>
                <w:sz w:val="20"/>
                <w:szCs w:val="20"/>
                <w:lang w:eastAsia="en-US"/>
              </w:rPr>
            </w:pPr>
          </w:p>
        </w:tc>
        <w:tc>
          <w:tcPr>
            <w:tcW w:w="739" w:type="dxa"/>
            <w:tcBorders>
              <w:top w:val="nil"/>
              <w:left w:val="nil"/>
              <w:bottom w:val="single" w:sz="4" w:space="0" w:color="FFFFFF"/>
              <w:right w:val="single" w:sz="4" w:space="0" w:color="FFFFFF"/>
            </w:tcBorders>
            <w:shd w:val="clear" w:color="auto" w:fill="auto"/>
            <w:noWrap/>
            <w:vAlign w:val="bottom"/>
          </w:tcPr>
          <w:p w14:paraId="72AA31DA"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0647697E" w14:textId="77777777" w:rsidR="00952870" w:rsidRPr="0088338F" w:rsidRDefault="00952870" w:rsidP="00A45FE4">
            <w:pPr>
              <w:jc w:val="right"/>
              <w:rPr>
                <w:rFonts w:ascii="Arial" w:hAnsi="Arial" w:cs="Arial"/>
                <w:sz w:val="20"/>
                <w:szCs w:val="20"/>
                <w:lang w:eastAsia="en-US"/>
              </w:rPr>
            </w:pPr>
          </w:p>
        </w:tc>
        <w:tc>
          <w:tcPr>
            <w:tcW w:w="1620" w:type="dxa"/>
            <w:tcBorders>
              <w:top w:val="nil"/>
              <w:left w:val="nil"/>
              <w:bottom w:val="single" w:sz="4" w:space="0" w:color="FFFFFF"/>
              <w:right w:val="single" w:sz="4" w:space="0" w:color="FFFFFF"/>
            </w:tcBorders>
            <w:shd w:val="clear" w:color="auto" w:fill="auto"/>
            <w:noWrap/>
            <w:vAlign w:val="bottom"/>
          </w:tcPr>
          <w:p w14:paraId="7CA6AC76" w14:textId="77777777" w:rsidR="00952870" w:rsidRPr="0088338F" w:rsidRDefault="00952870" w:rsidP="00A45FE4">
            <w:pPr>
              <w:jc w:val="right"/>
              <w:rPr>
                <w:rFonts w:ascii="Arial" w:hAnsi="Arial" w:cs="Arial"/>
                <w:sz w:val="20"/>
                <w:szCs w:val="20"/>
                <w:lang w:eastAsia="en-US"/>
              </w:rPr>
            </w:pPr>
          </w:p>
        </w:tc>
      </w:tr>
      <w:tr w:rsidR="00952870" w:rsidRPr="0088338F" w14:paraId="2906CAD1"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3F61ED64" w14:textId="77777777" w:rsidR="00952870" w:rsidRPr="0088338F" w:rsidRDefault="00952870" w:rsidP="00D96D0F">
            <w:pPr>
              <w:rPr>
                <w:rFonts w:ascii="Arial" w:hAnsi="Arial" w:cs="Arial"/>
                <w:b/>
                <w:bCs/>
                <w:sz w:val="20"/>
                <w:szCs w:val="20"/>
                <w:lang w:eastAsia="en-US"/>
              </w:rPr>
            </w:pPr>
            <w:r w:rsidRPr="0088338F">
              <w:rPr>
                <w:rFonts w:ascii="Arial" w:hAnsi="Arial" w:cs="Arial"/>
                <w:b/>
                <w:bCs/>
                <w:sz w:val="20"/>
                <w:szCs w:val="20"/>
                <w:lang w:eastAsia="en-US"/>
              </w:rPr>
              <w:t>Čisté úrokové výnosy</w:t>
            </w:r>
          </w:p>
        </w:tc>
        <w:tc>
          <w:tcPr>
            <w:tcW w:w="739" w:type="dxa"/>
            <w:tcBorders>
              <w:top w:val="nil"/>
              <w:left w:val="nil"/>
              <w:bottom w:val="single" w:sz="4" w:space="0" w:color="FFFFFF"/>
              <w:right w:val="single" w:sz="4" w:space="0" w:color="FFFFFF"/>
            </w:tcBorders>
            <w:shd w:val="clear" w:color="auto" w:fill="auto"/>
            <w:noWrap/>
            <w:vAlign w:val="bottom"/>
          </w:tcPr>
          <w:p w14:paraId="2ADCF949"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7A5424D5" w14:textId="3F5E191E" w:rsidR="00952870" w:rsidRPr="0088338F" w:rsidRDefault="009F24BA" w:rsidP="00A45FE4">
            <w:pPr>
              <w:jc w:val="right"/>
              <w:rPr>
                <w:rFonts w:ascii="Arial" w:hAnsi="Arial" w:cs="Arial"/>
                <w:b/>
                <w:bCs/>
                <w:sz w:val="20"/>
                <w:szCs w:val="20"/>
                <w:lang w:eastAsia="en-US"/>
              </w:rPr>
            </w:pPr>
            <w:r w:rsidRPr="0088338F">
              <w:rPr>
                <w:rFonts w:ascii="Arial" w:hAnsi="Arial" w:cs="Arial"/>
                <w:b/>
                <w:bCs/>
                <w:sz w:val="20"/>
                <w:szCs w:val="20"/>
                <w:lang w:eastAsia="en-US"/>
              </w:rPr>
              <w:t>11 569</w:t>
            </w:r>
          </w:p>
        </w:tc>
        <w:tc>
          <w:tcPr>
            <w:tcW w:w="1620" w:type="dxa"/>
            <w:tcBorders>
              <w:top w:val="nil"/>
              <w:left w:val="nil"/>
              <w:bottom w:val="single" w:sz="4" w:space="0" w:color="FFFFFF"/>
              <w:right w:val="single" w:sz="4" w:space="0" w:color="FFFFFF"/>
            </w:tcBorders>
            <w:shd w:val="clear" w:color="auto" w:fill="auto"/>
            <w:noWrap/>
            <w:vAlign w:val="bottom"/>
          </w:tcPr>
          <w:p w14:paraId="0915EBE1" w14:textId="404811B0" w:rsidR="00952870" w:rsidRPr="0088338F" w:rsidRDefault="00952870" w:rsidP="00A45FE4">
            <w:pPr>
              <w:jc w:val="right"/>
              <w:rPr>
                <w:rFonts w:ascii="Arial" w:hAnsi="Arial" w:cs="Arial"/>
                <w:b/>
                <w:bCs/>
                <w:sz w:val="20"/>
                <w:szCs w:val="20"/>
                <w:lang w:eastAsia="en-US"/>
              </w:rPr>
            </w:pPr>
            <w:r w:rsidRPr="0088338F">
              <w:rPr>
                <w:rFonts w:ascii="Arial" w:hAnsi="Arial" w:cs="Arial"/>
                <w:b/>
                <w:bCs/>
                <w:sz w:val="20"/>
                <w:szCs w:val="20"/>
                <w:lang w:eastAsia="en-US"/>
              </w:rPr>
              <w:t>14 177</w:t>
            </w:r>
          </w:p>
        </w:tc>
      </w:tr>
      <w:tr w:rsidR="00952870" w:rsidRPr="0088338F" w14:paraId="00B9A52E"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049F709F" w14:textId="77777777" w:rsidR="00952870" w:rsidRPr="0088338F" w:rsidRDefault="00952870" w:rsidP="00D96D0F">
            <w:pPr>
              <w:rPr>
                <w:rFonts w:ascii="Arial" w:hAnsi="Arial" w:cs="Arial"/>
                <w:b/>
                <w:bCs/>
                <w:sz w:val="20"/>
                <w:szCs w:val="20"/>
                <w:lang w:eastAsia="en-US"/>
              </w:rPr>
            </w:pPr>
          </w:p>
        </w:tc>
        <w:tc>
          <w:tcPr>
            <w:tcW w:w="739" w:type="dxa"/>
            <w:tcBorders>
              <w:top w:val="nil"/>
              <w:left w:val="nil"/>
              <w:bottom w:val="single" w:sz="4" w:space="0" w:color="FFFFFF"/>
              <w:right w:val="single" w:sz="4" w:space="0" w:color="FFFFFF"/>
            </w:tcBorders>
            <w:shd w:val="clear" w:color="auto" w:fill="auto"/>
            <w:noWrap/>
            <w:vAlign w:val="bottom"/>
          </w:tcPr>
          <w:p w14:paraId="73B03C2E"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4B01A84C" w14:textId="77777777" w:rsidR="00952870" w:rsidRPr="0088338F" w:rsidRDefault="00952870" w:rsidP="00A45FE4">
            <w:pPr>
              <w:jc w:val="right"/>
              <w:rPr>
                <w:rFonts w:ascii="Arial" w:hAnsi="Arial" w:cs="Arial"/>
                <w:b/>
                <w:bCs/>
                <w:sz w:val="20"/>
                <w:szCs w:val="20"/>
                <w:lang w:eastAsia="en-US"/>
              </w:rPr>
            </w:pPr>
          </w:p>
        </w:tc>
        <w:tc>
          <w:tcPr>
            <w:tcW w:w="1620" w:type="dxa"/>
            <w:tcBorders>
              <w:top w:val="nil"/>
              <w:left w:val="nil"/>
              <w:bottom w:val="single" w:sz="4" w:space="0" w:color="FFFFFF"/>
              <w:right w:val="single" w:sz="4" w:space="0" w:color="FFFFFF"/>
            </w:tcBorders>
            <w:shd w:val="clear" w:color="auto" w:fill="auto"/>
            <w:noWrap/>
            <w:vAlign w:val="bottom"/>
          </w:tcPr>
          <w:p w14:paraId="19A2418E" w14:textId="77777777" w:rsidR="00952870" w:rsidRPr="0088338F" w:rsidRDefault="00952870" w:rsidP="00A45FE4">
            <w:pPr>
              <w:jc w:val="right"/>
              <w:rPr>
                <w:rFonts w:ascii="Arial" w:hAnsi="Arial" w:cs="Arial"/>
                <w:b/>
                <w:bCs/>
                <w:sz w:val="20"/>
                <w:szCs w:val="20"/>
                <w:lang w:eastAsia="en-US"/>
              </w:rPr>
            </w:pPr>
          </w:p>
        </w:tc>
      </w:tr>
      <w:tr w:rsidR="00952870" w:rsidRPr="0088338F" w14:paraId="13FCEB9C"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6D0278DA"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Výnosy z poplatkov a provízií</w:t>
            </w:r>
          </w:p>
        </w:tc>
        <w:tc>
          <w:tcPr>
            <w:tcW w:w="739" w:type="dxa"/>
            <w:tcBorders>
              <w:top w:val="nil"/>
              <w:left w:val="nil"/>
              <w:bottom w:val="single" w:sz="4" w:space="0" w:color="FFFFFF"/>
              <w:right w:val="single" w:sz="4" w:space="0" w:color="FFFFFF"/>
            </w:tcBorders>
            <w:shd w:val="clear" w:color="auto" w:fill="auto"/>
            <w:noWrap/>
            <w:vAlign w:val="bottom"/>
          </w:tcPr>
          <w:p w14:paraId="12E3244E" w14:textId="77777777" w:rsidR="00952870" w:rsidRPr="0088338F" w:rsidRDefault="00952870" w:rsidP="00E00020">
            <w:pPr>
              <w:jc w:val="right"/>
              <w:rPr>
                <w:rFonts w:ascii="Arial" w:hAnsi="Arial" w:cs="Arial"/>
                <w:sz w:val="20"/>
                <w:szCs w:val="20"/>
                <w:lang w:eastAsia="en-US"/>
              </w:rPr>
            </w:pPr>
            <w:r w:rsidRPr="0088338F">
              <w:rPr>
                <w:rFonts w:ascii="Arial" w:hAnsi="Arial" w:cs="Arial"/>
                <w:sz w:val="20"/>
                <w:szCs w:val="20"/>
                <w:lang w:eastAsia="en-US"/>
              </w:rPr>
              <w:t>28.</w:t>
            </w:r>
          </w:p>
        </w:tc>
        <w:tc>
          <w:tcPr>
            <w:tcW w:w="1376" w:type="dxa"/>
            <w:tcBorders>
              <w:top w:val="nil"/>
              <w:left w:val="nil"/>
              <w:bottom w:val="single" w:sz="4" w:space="0" w:color="FFFFFF"/>
              <w:right w:val="single" w:sz="4" w:space="0" w:color="FFFFFF"/>
            </w:tcBorders>
            <w:shd w:val="clear" w:color="auto" w:fill="auto"/>
            <w:noWrap/>
            <w:vAlign w:val="bottom"/>
          </w:tcPr>
          <w:p w14:paraId="2EF492F0" w14:textId="17F672FC" w:rsidR="00952870" w:rsidRPr="0088338F" w:rsidRDefault="009F24BA" w:rsidP="00A45FE4">
            <w:pPr>
              <w:jc w:val="right"/>
              <w:rPr>
                <w:rFonts w:ascii="Arial" w:hAnsi="Arial" w:cs="Arial"/>
                <w:sz w:val="20"/>
                <w:szCs w:val="20"/>
                <w:lang w:eastAsia="en-US"/>
              </w:rPr>
            </w:pPr>
            <w:r w:rsidRPr="0088338F">
              <w:rPr>
                <w:rFonts w:ascii="Arial" w:hAnsi="Arial" w:cs="Arial"/>
                <w:sz w:val="20"/>
                <w:szCs w:val="20"/>
                <w:lang w:eastAsia="en-US"/>
              </w:rPr>
              <w:t>10 472</w:t>
            </w:r>
          </w:p>
        </w:tc>
        <w:tc>
          <w:tcPr>
            <w:tcW w:w="1620" w:type="dxa"/>
            <w:tcBorders>
              <w:top w:val="nil"/>
              <w:left w:val="nil"/>
              <w:bottom w:val="single" w:sz="4" w:space="0" w:color="FFFFFF"/>
              <w:right w:val="single" w:sz="4" w:space="0" w:color="FFFFFF"/>
            </w:tcBorders>
            <w:shd w:val="clear" w:color="auto" w:fill="auto"/>
            <w:noWrap/>
            <w:vAlign w:val="bottom"/>
          </w:tcPr>
          <w:p w14:paraId="77B5C96A" w14:textId="272DD007"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7 828</w:t>
            </w:r>
          </w:p>
        </w:tc>
      </w:tr>
      <w:tr w:rsidR="00952870" w:rsidRPr="0088338F" w14:paraId="07C28F01"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68E77C23"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Náklady na poplatky a provízie</w:t>
            </w:r>
          </w:p>
        </w:tc>
        <w:tc>
          <w:tcPr>
            <w:tcW w:w="739" w:type="dxa"/>
            <w:tcBorders>
              <w:top w:val="nil"/>
              <w:left w:val="nil"/>
              <w:bottom w:val="single" w:sz="4" w:space="0" w:color="FFFFFF"/>
              <w:right w:val="single" w:sz="4" w:space="0" w:color="FFFFFF"/>
            </w:tcBorders>
            <w:shd w:val="clear" w:color="auto" w:fill="auto"/>
            <w:noWrap/>
            <w:vAlign w:val="bottom"/>
          </w:tcPr>
          <w:p w14:paraId="13923AF6" w14:textId="77777777" w:rsidR="00952870" w:rsidRPr="0088338F" w:rsidRDefault="00952870" w:rsidP="00E00020">
            <w:pPr>
              <w:jc w:val="right"/>
              <w:rPr>
                <w:rFonts w:ascii="Arial" w:hAnsi="Arial" w:cs="Arial"/>
                <w:sz w:val="20"/>
                <w:szCs w:val="20"/>
                <w:lang w:eastAsia="en-US"/>
              </w:rPr>
            </w:pPr>
            <w:r w:rsidRPr="0088338F">
              <w:rPr>
                <w:rFonts w:ascii="Arial" w:hAnsi="Arial" w:cs="Arial"/>
                <w:sz w:val="20"/>
                <w:szCs w:val="20"/>
                <w:lang w:eastAsia="en-US"/>
              </w:rPr>
              <w:t>29.</w:t>
            </w:r>
          </w:p>
        </w:tc>
        <w:tc>
          <w:tcPr>
            <w:tcW w:w="1376" w:type="dxa"/>
            <w:tcBorders>
              <w:top w:val="nil"/>
              <w:left w:val="nil"/>
              <w:bottom w:val="single" w:sz="4" w:space="0" w:color="FFFFFF"/>
              <w:right w:val="single" w:sz="4" w:space="0" w:color="FFFFFF"/>
            </w:tcBorders>
            <w:shd w:val="clear" w:color="auto" w:fill="auto"/>
            <w:noWrap/>
            <w:vAlign w:val="bottom"/>
          </w:tcPr>
          <w:p w14:paraId="6BECA696" w14:textId="64A5F447" w:rsidR="00952870" w:rsidRPr="0088338F" w:rsidRDefault="009F24BA" w:rsidP="00A45FE4">
            <w:pPr>
              <w:ind w:right="-57"/>
              <w:jc w:val="right"/>
              <w:rPr>
                <w:rFonts w:ascii="Arial" w:hAnsi="Arial" w:cs="Arial"/>
                <w:sz w:val="20"/>
                <w:szCs w:val="20"/>
                <w:lang w:eastAsia="en-US"/>
              </w:rPr>
            </w:pPr>
            <w:r w:rsidRPr="0088338F">
              <w:rPr>
                <w:rFonts w:ascii="Arial" w:hAnsi="Arial" w:cs="Arial"/>
                <w:sz w:val="20"/>
                <w:szCs w:val="20"/>
                <w:lang w:eastAsia="en-US"/>
              </w:rPr>
              <w:t>(637)</w:t>
            </w:r>
          </w:p>
        </w:tc>
        <w:tc>
          <w:tcPr>
            <w:tcW w:w="1620" w:type="dxa"/>
            <w:tcBorders>
              <w:top w:val="nil"/>
              <w:left w:val="nil"/>
              <w:bottom w:val="single" w:sz="4" w:space="0" w:color="FFFFFF"/>
              <w:right w:val="single" w:sz="4" w:space="0" w:color="FFFFFF"/>
            </w:tcBorders>
            <w:shd w:val="clear" w:color="auto" w:fill="auto"/>
            <w:noWrap/>
            <w:vAlign w:val="bottom"/>
          </w:tcPr>
          <w:p w14:paraId="70BFC3AC" w14:textId="413F6887" w:rsidR="00952870" w:rsidRPr="0088338F" w:rsidRDefault="00952870" w:rsidP="00A45FE4">
            <w:pPr>
              <w:ind w:right="-57"/>
              <w:jc w:val="right"/>
              <w:rPr>
                <w:rFonts w:ascii="Arial" w:hAnsi="Arial" w:cs="Arial"/>
                <w:sz w:val="20"/>
                <w:szCs w:val="20"/>
                <w:lang w:eastAsia="en-US"/>
              </w:rPr>
            </w:pPr>
            <w:r w:rsidRPr="0088338F">
              <w:rPr>
                <w:rFonts w:ascii="Arial" w:hAnsi="Arial" w:cs="Arial"/>
                <w:sz w:val="20"/>
                <w:szCs w:val="20"/>
                <w:lang w:eastAsia="en-US"/>
              </w:rPr>
              <w:t>(643)</w:t>
            </w:r>
          </w:p>
        </w:tc>
      </w:tr>
      <w:tr w:rsidR="00952870" w:rsidRPr="0088338F" w14:paraId="6E4ACEA5"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4DF4D408" w14:textId="77777777" w:rsidR="00952870" w:rsidRPr="0088338F" w:rsidRDefault="00952870" w:rsidP="00D96D0F">
            <w:pPr>
              <w:rPr>
                <w:rFonts w:ascii="Arial" w:hAnsi="Arial" w:cs="Arial"/>
                <w:b/>
                <w:bCs/>
                <w:sz w:val="20"/>
                <w:szCs w:val="20"/>
                <w:lang w:eastAsia="en-US"/>
              </w:rPr>
            </w:pPr>
          </w:p>
        </w:tc>
        <w:tc>
          <w:tcPr>
            <w:tcW w:w="739" w:type="dxa"/>
            <w:tcBorders>
              <w:top w:val="nil"/>
              <w:left w:val="nil"/>
              <w:bottom w:val="single" w:sz="4" w:space="0" w:color="FFFFFF"/>
              <w:right w:val="single" w:sz="4" w:space="0" w:color="FFFFFF"/>
            </w:tcBorders>
            <w:shd w:val="clear" w:color="auto" w:fill="auto"/>
            <w:noWrap/>
            <w:vAlign w:val="bottom"/>
          </w:tcPr>
          <w:p w14:paraId="4477195D"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2814D230" w14:textId="77777777" w:rsidR="00952870" w:rsidRPr="0088338F" w:rsidRDefault="00952870" w:rsidP="00A45FE4">
            <w:pPr>
              <w:jc w:val="right"/>
              <w:rPr>
                <w:rFonts w:ascii="Arial" w:hAnsi="Arial" w:cs="Arial"/>
                <w:b/>
                <w:bCs/>
                <w:sz w:val="20"/>
                <w:szCs w:val="20"/>
                <w:lang w:eastAsia="en-US"/>
              </w:rPr>
            </w:pPr>
          </w:p>
        </w:tc>
        <w:tc>
          <w:tcPr>
            <w:tcW w:w="1620" w:type="dxa"/>
            <w:tcBorders>
              <w:top w:val="nil"/>
              <w:left w:val="nil"/>
              <w:bottom w:val="single" w:sz="4" w:space="0" w:color="FFFFFF"/>
              <w:right w:val="single" w:sz="4" w:space="0" w:color="FFFFFF"/>
            </w:tcBorders>
            <w:shd w:val="clear" w:color="auto" w:fill="auto"/>
            <w:noWrap/>
            <w:vAlign w:val="bottom"/>
          </w:tcPr>
          <w:p w14:paraId="41D04744" w14:textId="77777777" w:rsidR="00952870" w:rsidRPr="0088338F" w:rsidRDefault="00952870" w:rsidP="00A45FE4">
            <w:pPr>
              <w:jc w:val="right"/>
              <w:rPr>
                <w:rFonts w:ascii="Arial" w:hAnsi="Arial" w:cs="Arial"/>
                <w:b/>
                <w:bCs/>
                <w:sz w:val="20"/>
                <w:szCs w:val="20"/>
                <w:lang w:eastAsia="en-US"/>
              </w:rPr>
            </w:pPr>
          </w:p>
        </w:tc>
      </w:tr>
      <w:tr w:rsidR="00952870" w:rsidRPr="0088338F" w14:paraId="5EC84FB3"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46E69311" w14:textId="77777777" w:rsidR="00952870" w:rsidRPr="0088338F" w:rsidRDefault="00952870" w:rsidP="00D96D0F">
            <w:pPr>
              <w:rPr>
                <w:rFonts w:ascii="Arial" w:hAnsi="Arial" w:cs="Arial"/>
                <w:b/>
                <w:bCs/>
                <w:sz w:val="20"/>
                <w:szCs w:val="20"/>
                <w:lang w:eastAsia="en-US"/>
              </w:rPr>
            </w:pPr>
            <w:r w:rsidRPr="0088338F">
              <w:rPr>
                <w:rFonts w:ascii="Arial" w:hAnsi="Arial" w:cs="Arial"/>
                <w:b/>
                <w:bCs/>
                <w:sz w:val="20"/>
                <w:szCs w:val="20"/>
                <w:lang w:eastAsia="en-US"/>
              </w:rPr>
              <w:t>Čisté prijaté poplatky a provízie</w:t>
            </w:r>
          </w:p>
        </w:tc>
        <w:tc>
          <w:tcPr>
            <w:tcW w:w="739" w:type="dxa"/>
            <w:tcBorders>
              <w:top w:val="nil"/>
              <w:left w:val="nil"/>
              <w:bottom w:val="single" w:sz="4" w:space="0" w:color="FFFFFF"/>
              <w:right w:val="single" w:sz="4" w:space="0" w:color="FFFFFF"/>
            </w:tcBorders>
            <w:shd w:val="clear" w:color="auto" w:fill="auto"/>
            <w:noWrap/>
            <w:vAlign w:val="bottom"/>
          </w:tcPr>
          <w:p w14:paraId="16A4C839"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4AA1EC67" w14:textId="4D99339D" w:rsidR="00952870" w:rsidRPr="0088338F" w:rsidRDefault="009F24BA" w:rsidP="00A45FE4">
            <w:pPr>
              <w:jc w:val="right"/>
              <w:rPr>
                <w:rFonts w:ascii="Arial" w:hAnsi="Arial" w:cs="Arial"/>
                <w:b/>
                <w:bCs/>
                <w:sz w:val="20"/>
                <w:szCs w:val="20"/>
                <w:lang w:eastAsia="en-US"/>
              </w:rPr>
            </w:pPr>
            <w:r w:rsidRPr="0088338F">
              <w:rPr>
                <w:rFonts w:ascii="Arial" w:hAnsi="Arial" w:cs="Arial"/>
                <w:b/>
                <w:bCs/>
                <w:sz w:val="20"/>
                <w:szCs w:val="20"/>
                <w:lang w:eastAsia="en-US"/>
              </w:rPr>
              <w:t>9 835</w:t>
            </w:r>
          </w:p>
        </w:tc>
        <w:tc>
          <w:tcPr>
            <w:tcW w:w="1620" w:type="dxa"/>
            <w:tcBorders>
              <w:top w:val="nil"/>
              <w:left w:val="nil"/>
              <w:bottom w:val="single" w:sz="4" w:space="0" w:color="FFFFFF"/>
              <w:right w:val="single" w:sz="4" w:space="0" w:color="FFFFFF"/>
            </w:tcBorders>
            <w:shd w:val="clear" w:color="auto" w:fill="auto"/>
            <w:noWrap/>
            <w:vAlign w:val="bottom"/>
          </w:tcPr>
          <w:p w14:paraId="40F70003" w14:textId="03342AD6" w:rsidR="00952870" w:rsidRPr="0088338F" w:rsidRDefault="00952870" w:rsidP="00A45FE4">
            <w:pPr>
              <w:jc w:val="right"/>
              <w:rPr>
                <w:rFonts w:ascii="Arial" w:hAnsi="Arial" w:cs="Arial"/>
                <w:b/>
                <w:bCs/>
                <w:sz w:val="20"/>
                <w:szCs w:val="20"/>
                <w:lang w:eastAsia="en-US"/>
              </w:rPr>
            </w:pPr>
            <w:r w:rsidRPr="0088338F">
              <w:rPr>
                <w:rFonts w:ascii="Arial" w:hAnsi="Arial" w:cs="Arial"/>
                <w:b/>
                <w:bCs/>
                <w:sz w:val="20"/>
                <w:szCs w:val="20"/>
                <w:lang w:eastAsia="en-US"/>
              </w:rPr>
              <w:t>7 185</w:t>
            </w:r>
          </w:p>
        </w:tc>
      </w:tr>
      <w:tr w:rsidR="00952870" w:rsidRPr="0088338F" w14:paraId="63D5A0E1"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45A67359" w14:textId="77777777" w:rsidR="00952870" w:rsidRPr="0088338F" w:rsidRDefault="00952870" w:rsidP="00D96D0F">
            <w:pPr>
              <w:rPr>
                <w:rFonts w:ascii="Arial" w:hAnsi="Arial" w:cs="Arial"/>
                <w:b/>
                <w:bCs/>
                <w:sz w:val="20"/>
                <w:szCs w:val="20"/>
                <w:lang w:eastAsia="en-US"/>
              </w:rPr>
            </w:pPr>
          </w:p>
        </w:tc>
        <w:tc>
          <w:tcPr>
            <w:tcW w:w="739" w:type="dxa"/>
            <w:tcBorders>
              <w:top w:val="nil"/>
              <w:left w:val="nil"/>
              <w:bottom w:val="single" w:sz="4" w:space="0" w:color="FFFFFF"/>
              <w:right w:val="single" w:sz="4" w:space="0" w:color="FFFFFF"/>
            </w:tcBorders>
            <w:shd w:val="clear" w:color="auto" w:fill="auto"/>
            <w:noWrap/>
            <w:vAlign w:val="bottom"/>
          </w:tcPr>
          <w:p w14:paraId="1DA3F7B3"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366243C0" w14:textId="77777777" w:rsidR="00952870" w:rsidRPr="0088338F" w:rsidRDefault="00952870" w:rsidP="00A45FE4">
            <w:pPr>
              <w:jc w:val="right"/>
              <w:rPr>
                <w:rFonts w:ascii="Arial" w:hAnsi="Arial" w:cs="Arial"/>
                <w:b/>
                <w:bCs/>
                <w:sz w:val="20"/>
                <w:szCs w:val="20"/>
                <w:lang w:eastAsia="en-US"/>
              </w:rPr>
            </w:pPr>
          </w:p>
        </w:tc>
        <w:tc>
          <w:tcPr>
            <w:tcW w:w="1620" w:type="dxa"/>
            <w:tcBorders>
              <w:top w:val="nil"/>
              <w:left w:val="nil"/>
              <w:bottom w:val="single" w:sz="4" w:space="0" w:color="FFFFFF"/>
              <w:right w:val="single" w:sz="4" w:space="0" w:color="FFFFFF"/>
            </w:tcBorders>
            <w:shd w:val="clear" w:color="auto" w:fill="auto"/>
            <w:noWrap/>
            <w:vAlign w:val="bottom"/>
          </w:tcPr>
          <w:p w14:paraId="72CDFFA7" w14:textId="77777777" w:rsidR="00952870" w:rsidRPr="0088338F" w:rsidRDefault="00952870" w:rsidP="00A45FE4">
            <w:pPr>
              <w:jc w:val="right"/>
              <w:rPr>
                <w:rFonts w:ascii="Arial" w:hAnsi="Arial" w:cs="Arial"/>
                <w:b/>
                <w:bCs/>
                <w:sz w:val="20"/>
                <w:szCs w:val="20"/>
                <w:lang w:eastAsia="en-US"/>
              </w:rPr>
            </w:pPr>
          </w:p>
        </w:tc>
      </w:tr>
      <w:tr w:rsidR="00952870" w:rsidRPr="0088338F" w14:paraId="5E2D770C"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1589B148"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Zisk z obchodovania</w:t>
            </w:r>
          </w:p>
        </w:tc>
        <w:tc>
          <w:tcPr>
            <w:tcW w:w="739" w:type="dxa"/>
            <w:tcBorders>
              <w:top w:val="nil"/>
              <w:left w:val="nil"/>
              <w:bottom w:val="single" w:sz="4" w:space="0" w:color="FFFFFF"/>
              <w:right w:val="single" w:sz="4" w:space="0" w:color="FFFFFF"/>
            </w:tcBorders>
            <w:shd w:val="clear" w:color="auto" w:fill="auto"/>
            <w:noWrap/>
            <w:vAlign w:val="bottom"/>
          </w:tcPr>
          <w:p w14:paraId="5E62CCF4" w14:textId="77777777" w:rsidR="00952870" w:rsidRPr="0088338F" w:rsidRDefault="00952870" w:rsidP="00E00020">
            <w:pPr>
              <w:jc w:val="right"/>
              <w:rPr>
                <w:rFonts w:ascii="Arial" w:hAnsi="Arial" w:cs="Arial"/>
                <w:sz w:val="20"/>
                <w:szCs w:val="20"/>
                <w:lang w:eastAsia="en-US"/>
              </w:rPr>
            </w:pPr>
            <w:r w:rsidRPr="0088338F">
              <w:rPr>
                <w:rFonts w:ascii="Arial" w:hAnsi="Arial" w:cs="Arial"/>
                <w:sz w:val="20"/>
                <w:szCs w:val="20"/>
                <w:lang w:eastAsia="en-US"/>
              </w:rPr>
              <w:t>30.</w:t>
            </w:r>
          </w:p>
        </w:tc>
        <w:tc>
          <w:tcPr>
            <w:tcW w:w="1376" w:type="dxa"/>
            <w:tcBorders>
              <w:top w:val="nil"/>
              <w:left w:val="nil"/>
              <w:bottom w:val="single" w:sz="4" w:space="0" w:color="FFFFFF"/>
              <w:right w:val="single" w:sz="4" w:space="0" w:color="FFFFFF"/>
            </w:tcBorders>
            <w:shd w:val="clear" w:color="auto" w:fill="auto"/>
            <w:noWrap/>
            <w:vAlign w:val="bottom"/>
          </w:tcPr>
          <w:p w14:paraId="0F5D9685" w14:textId="095DF67D" w:rsidR="00952870" w:rsidRPr="0088338F" w:rsidRDefault="009F24BA" w:rsidP="00A45FE4">
            <w:pPr>
              <w:jc w:val="right"/>
              <w:rPr>
                <w:rFonts w:ascii="Arial" w:hAnsi="Arial" w:cs="Arial"/>
                <w:sz w:val="20"/>
                <w:szCs w:val="20"/>
                <w:lang w:eastAsia="en-US"/>
              </w:rPr>
            </w:pPr>
            <w:r w:rsidRPr="0088338F">
              <w:rPr>
                <w:rFonts w:ascii="Arial" w:hAnsi="Arial" w:cs="Arial"/>
                <w:sz w:val="20"/>
                <w:szCs w:val="20"/>
                <w:lang w:eastAsia="en-US"/>
              </w:rPr>
              <w:t>1 116</w:t>
            </w:r>
          </w:p>
        </w:tc>
        <w:tc>
          <w:tcPr>
            <w:tcW w:w="1620" w:type="dxa"/>
            <w:tcBorders>
              <w:top w:val="nil"/>
              <w:left w:val="nil"/>
              <w:bottom w:val="single" w:sz="4" w:space="0" w:color="FFFFFF"/>
              <w:right w:val="single" w:sz="4" w:space="0" w:color="FFFFFF"/>
            </w:tcBorders>
            <w:shd w:val="clear" w:color="auto" w:fill="auto"/>
            <w:noWrap/>
            <w:vAlign w:val="bottom"/>
          </w:tcPr>
          <w:p w14:paraId="146412AF" w14:textId="7C122693"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1 042</w:t>
            </w:r>
          </w:p>
        </w:tc>
      </w:tr>
      <w:tr w:rsidR="00952870" w:rsidRPr="0088338F" w14:paraId="28B6B81E"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113CFF66"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Ostatné výnosy</w:t>
            </w:r>
          </w:p>
        </w:tc>
        <w:tc>
          <w:tcPr>
            <w:tcW w:w="739" w:type="dxa"/>
            <w:tcBorders>
              <w:top w:val="nil"/>
              <w:left w:val="nil"/>
              <w:bottom w:val="single" w:sz="4" w:space="0" w:color="FFFFFF"/>
              <w:right w:val="single" w:sz="4" w:space="0" w:color="FFFFFF"/>
            </w:tcBorders>
            <w:shd w:val="clear" w:color="auto" w:fill="auto"/>
            <w:noWrap/>
            <w:vAlign w:val="bottom"/>
          </w:tcPr>
          <w:p w14:paraId="6C1E9F14"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6DC9B6DA" w14:textId="74C5D4D3" w:rsidR="00952870" w:rsidRPr="0088338F" w:rsidRDefault="009F24BA" w:rsidP="00A45FE4">
            <w:pPr>
              <w:jc w:val="right"/>
              <w:rPr>
                <w:rFonts w:ascii="Arial" w:hAnsi="Arial" w:cs="Arial"/>
                <w:sz w:val="20"/>
                <w:szCs w:val="20"/>
                <w:lang w:eastAsia="en-US"/>
              </w:rPr>
            </w:pPr>
            <w:r w:rsidRPr="0088338F">
              <w:rPr>
                <w:rFonts w:ascii="Arial" w:hAnsi="Arial" w:cs="Arial"/>
                <w:sz w:val="20"/>
                <w:szCs w:val="20"/>
                <w:lang w:eastAsia="en-US"/>
              </w:rPr>
              <w:t>1</w:t>
            </w:r>
          </w:p>
        </w:tc>
        <w:tc>
          <w:tcPr>
            <w:tcW w:w="1620" w:type="dxa"/>
            <w:tcBorders>
              <w:top w:val="nil"/>
              <w:left w:val="nil"/>
              <w:bottom w:val="single" w:sz="4" w:space="0" w:color="FFFFFF"/>
              <w:right w:val="single" w:sz="4" w:space="0" w:color="FFFFFF"/>
            </w:tcBorders>
            <w:shd w:val="clear" w:color="auto" w:fill="auto"/>
            <w:noWrap/>
            <w:vAlign w:val="bottom"/>
          </w:tcPr>
          <w:p w14:paraId="6E78BB4F" w14:textId="5565C355"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18</w:t>
            </w:r>
          </w:p>
        </w:tc>
      </w:tr>
      <w:tr w:rsidR="00952870" w:rsidRPr="0088338F" w14:paraId="6F099071"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04C21877" w14:textId="77777777" w:rsidR="00952870" w:rsidRPr="0088338F" w:rsidRDefault="00952870" w:rsidP="00D96D0F">
            <w:pPr>
              <w:rPr>
                <w:rFonts w:ascii="Arial" w:hAnsi="Arial" w:cs="Arial"/>
                <w:sz w:val="20"/>
                <w:szCs w:val="20"/>
                <w:lang w:eastAsia="en-US"/>
              </w:rPr>
            </w:pPr>
          </w:p>
        </w:tc>
        <w:tc>
          <w:tcPr>
            <w:tcW w:w="739" w:type="dxa"/>
            <w:tcBorders>
              <w:top w:val="nil"/>
              <w:left w:val="nil"/>
              <w:bottom w:val="single" w:sz="4" w:space="0" w:color="FFFFFF"/>
              <w:right w:val="single" w:sz="4" w:space="0" w:color="FFFFFF"/>
            </w:tcBorders>
            <w:shd w:val="clear" w:color="auto" w:fill="auto"/>
            <w:noWrap/>
            <w:vAlign w:val="bottom"/>
          </w:tcPr>
          <w:p w14:paraId="25313E3C"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6D2D55B1" w14:textId="77777777" w:rsidR="00952870" w:rsidRPr="0088338F" w:rsidRDefault="00952870" w:rsidP="00A45FE4">
            <w:pPr>
              <w:jc w:val="right"/>
              <w:rPr>
                <w:rFonts w:ascii="Arial" w:hAnsi="Arial" w:cs="Arial"/>
                <w:sz w:val="20"/>
                <w:szCs w:val="20"/>
                <w:lang w:eastAsia="en-US"/>
              </w:rPr>
            </w:pPr>
          </w:p>
        </w:tc>
        <w:tc>
          <w:tcPr>
            <w:tcW w:w="1620" w:type="dxa"/>
            <w:tcBorders>
              <w:top w:val="nil"/>
              <w:left w:val="nil"/>
              <w:bottom w:val="single" w:sz="4" w:space="0" w:color="FFFFFF"/>
              <w:right w:val="single" w:sz="4" w:space="0" w:color="FFFFFF"/>
            </w:tcBorders>
            <w:shd w:val="clear" w:color="auto" w:fill="auto"/>
            <w:noWrap/>
            <w:vAlign w:val="bottom"/>
          </w:tcPr>
          <w:p w14:paraId="7F3D5597" w14:textId="77777777" w:rsidR="00952870" w:rsidRPr="0088338F" w:rsidRDefault="00952870" w:rsidP="00A45FE4">
            <w:pPr>
              <w:jc w:val="right"/>
              <w:rPr>
                <w:rFonts w:ascii="Arial" w:hAnsi="Arial" w:cs="Arial"/>
                <w:sz w:val="20"/>
                <w:szCs w:val="20"/>
                <w:lang w:eastAsia="en-US"/>
              </w:rPr>
            </w:pPr>
          </w:p>
        </w:tc>
      </w:tr>
      <w:tr w:rsidR="00952870" w:rsidRPr="0088338F" w14:paraId="307DB680"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5CF7325D" w14:textId="77777777" w:rsidR="00952870" w:rsidRPr="0088338F" w:rsidRDefault="00952870" w:rsidP="00D96D0F">
            <w:pPr>
              <w:rPr>
                <w:rFonts w:ascii="Arial" w:hAnsi="Arial" w:cs="Arial"/>
                <w:b/>
                <w:bCs/>
                <w:sz w:val="20"/>
                <w:szCs w:val="20"/>
                <w:lang w:eastAsia="en-US"/>
              </w:rPr>
            </w:pPr>
            <w:r w:rsidRPr="0088338F">
              <w:rPr>
                <w:rFonts w:ascii="Arial" w:hAnsi="Arial" w:cs="Arial"/>
                <w:b/>
                <w:bCs/>
                <w:sz w:val="20"/>
                <w:szCs w:val="20"/>
                <w:lang w:eastAsia="en-US"/>
              </w:rPr>
              <w:t>Prevádzkové výnosy</w:t>
            </w:r>
          </w:p>
        </w:tc>
        <w:tc>
          <w:tcPr>
            <w:tcW w:w="739" w:type="dxa"/>
            <w:tcBorders>
              <w:top w:val="nil"/>
              <w:left w:val="nil"/>
              <w:bottom w:val="single" w:sz="4" w:space="0" w:color="FFFFFF"/>
              <w:right w:val="single" w:sz="4" w:space="0" w:color="FFFFFF"/>
            </w:tcBorders>
            <w:shd w:val="clear" w:color="auto" w:fill="auto"/>
            <w:noWrap/>
            <w:vAlign w:val="bottom"/>
          </w:tcPr>
          <w:p w14:paraId="1254089B"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3CDAEE96" w14:textId="6482A46D" w:rsidR="00952870" w:rsidRPr="0088338F" w:rsidRDefault="009F24BA" w:rsidP="00A45FE4">
            <w:pPr>
              <w:jc w:val="right"/>
              <w:rPr>
                <w:rFonts w:ascii="Arial" w:hAnsi="Arial" w:cs="Arial"/>
                <w:b/>
                <w:bCs/>
                <w:sz w:val="20"/>
                <w:szCs w:val="20"/>
                <w:lang w:eastAsia="en-US"/>
              </w:rPr>
            </w:pPr>
            <w:r w:rsidRPr="0088338F">
              <w:rPr>
                <w:rFonts w:ascii="Arial" w:hAnsi="Arial" w:cs="Arial"/>
                <w:b/>
                <w:bCs/>
                <w:sz w:val="20"/>
                <w:szCs w:val="20"/>
                <w:lang w:eastAsia="en-US"/>
              </w:rPr>
              <w:t>22 521</w:t>
            </w:r>
          </w:p>
        </w:tc>
        <w:tc>
          <w:tcPr>
            <w:tcW w:w="1620" w:type="dxa"/>
            <w:tcBorders>
              <w:top w:val="nil"/>
              <w:left w:val="nil"/>
              <w:bottom w:val="single" w:sz="4" w:space="0" w:color="FFFFFF"/>
              <w:right w:val="single" w:sz="4" w:space="0" w:color="FFFFFF"/>
            </w:tcBorders>
            <w:shd w:val="clear" w:color="auto" w:fill="auto"/>
            <w:noWrap/>
            <w:vAlign w:val="bottom"/>
          </w:tcPr>
          <w:p w14:paraId="35FFC6E3" w14:textId="6EC52D46" w:rsidR="00952870" w:rsidRPr="0088338F" w:rsidRDefault="00952870" w:rsidP="00A45FE4">
            <w:pPr>
              <w:jc w:val="right"/>
              <w:rPr>
                <w:rFonts w:ascii="Arial" w:hAnsi="Arial" w:cs="Arial"/>
                <w:b/>
                <w:bCs/>
                <w:sz w:val="20"/>
                <w:szCs w:val="20"/>
                <w:lang w:eastAsia="en-US"/>
              </w:rPr>
            </w:pPr>
            <w:r w:rsidRPr="0088338F">
              <w:rPr>
                <w:rFonts w:ascii="Arial" w:hAnsi="Arial" w:cs="Arial"/>
                <w:b/>
                <w:bCs/>
                <w:sz w:val="20"/>
                <w:szCs w:val="20"/>
                <w:lang w:eastAsia="en-US"/>
              </w:rPr>
              <w:t>22 422</w:t>
            </w:r>
          </w:p>
        </w:tc>
      </w:tr>
      <w:tr w:rsidR="00952870" w:rsidRPr="0088338F" w14:paraId="02A15372"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61CF23A4"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 </w:t>
            </w:r>
          </w:p>
        </w:tc>
        <w:tc>
          <w:tcPr>
            <w:tcW w:w="739" w:type="dxa"/>
            <w:tcBorders>
              <w:top w:val="nil"/>
              <w:left w:val="nil"/>
              <w:bottom w:val="single" w:sz="4" w:space="0" w:color="FFFFFF"/>
              <w:right w:val="single" w:sz="4" w:space="0" w:color="FFFFFF"/>
            </w:tcBorders>
            <w:shd w:val="clear" w:color="auto" w:fill="auto"/>
            <w:noWrap/>
            <w:vAlign w:val="bottom"/>
          </w:tcPr>
          <w:p w14:paraId="62972DEE"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5CC9FE1E" w14:textId="77777777" w:rsidR="00952870" w:rsidRPr="0088338F" w:rsidRDefault="00952870" w:rsidP="00A45FE4">
            <w:pPr>
              <w:jc w:val="right"/>
              <w:rPr>
                <w:rFonts w:ascii="Arial" w:hAnsi="Arial" w:cs="Arial"/>
                <w:sz w:val="20"/>
                <w:szCs w:val="20"/>
                <w:lang w:eastAsia="en-US"/>
              </w:rPr>
            </w:pPr>
          </w:p>
        </w:tc>
        <w:tc>
          <w:tcPr>
            <w:tcW w:w="1620" w:type="dxa"/>
            <w:tcBorders>
              <w:top w:val="nil"/>
              <w:left w:val="nil"/>
              <w:bottom w:val="single" w:sz="4" w:space="0" w:color="FFFFFF"/>
              <w:right w:val="single" w:sz="4" w:space="0" w:color="FFFFFF"/>
            </w:tcBorders>
            <w:shd w:val="clear" w:color="auto" w:fill="auto"/>
            <w:noWrap/>
            <w:vAlign w:val="bottom"/>
          </w:tcPr>
          <w:p w14:paraId="4C26AC00" w14:textId="77777777" w:rsidR="00952870" w:rsidRPr="0088338F" w:rsidRDefault="00952870" w:rsidP="00A45FE4">
            <w:pPr>
              <w:jc w:val="right"/>
              <w:rPr>
                <w:rFonts w:ascii="Arial" w:hAnsi="Arial" w:cs="Arial"/>
                <w:sz w:val="20"/>
                <w:szCs w:val="20"/>
                <w:lang w:eastAsia="en-US"/>
              </w:rPr>
            </w:pPr>
          </w:p>
        </w:tc>
      </w:tr>
      <w:tr w:rsidR="00952870" w:rsidRPr="0088338F" w14:paraId="61AADFC0"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020AEEEB"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Všeobecné prevádzkové náklady</w:t>
            </w:r>
          </w:p>
        </w:tc>
        <w:tc>
          <w:tcPr>
            <w:tcW w:w="739" w:type="dxa"/>
            <w:tcBorders>
              <w:top w:val="nil"/>
              <w:left w:val="nil"/>
              <w:bottom w:val="single" w:sz="4" w:space="0" w:color="FFFFFF"/>
              <w:right w:val="single" w:sz="4" w:space="0" w:color="FFFFFF"/>
            </w:tcBorders>
            <w:shd w:val="clear" w:color="auto" w:fill="auto"/>
            <w:noWrap/>
            <w:vAlign w:val="bottom"/>
          </w:tcPr>
          <w:p w14:paraId="787C712E" w14:textId="77777777" w:rsidR="00952870" w:rsidRPr="0088338F" w:rsidRDefault="00952870" w:rsidP="00E00020">
            <w:pPr>
              <w:jc w:val="right"/>
              <w:rPr>
                <w:rFonts w:ascii="Arial" w:hAnsi="Arial" w:cs="Arial"/>
                <w:sz w:val="20"/>
                <w:szCs w:val="20"/>
                <w:lang w:eastAsia="en-US"/>
              </w:rPr>
            </w:pPr>
            <w:r w:rsidRPr="0088338F">
              <w:rPr>
                <w:rFonts w:ascii="Arial" w:hAnsi="Arial" w:cs="Arial"/>
                <w:sz w:val="20"/>
                <w:szCs w:val="20"/>
                <w:lang w:eastAsia="en-US"/>
              </w:rPr>
              <w:t>31.</w:t>
            </w:r>
          </w:p>
        </w:tc>
        <w:tc>
          <w:tcPr>
            <w:tcW w:w="1376" w:type="dxa"/>
            <w:tcBorders>
              <w:top w:val="nil"/>
              <w:left w:val="nil"/>
              <w:bottom w:val="single" w:sz="4" w:space="0" w:color="FFFFFF"/>
              <w:right w:val="single" w:sz="4" w:space="0" w:color="FFFFFF"/>
            </w:tcBorders>
            <w:shd w:val="clear" w:color="auto" w:fill="auto"/>
            <w:noWrap/>
            <w:vAlign w:val="bottom"/>
          </w:tcPr>
          <w:p w14:paraId="590EF14F" w14:textId="1FB91624" w:rsidR="00952870" w:rsidRPr="0088338F" w:rsidRDefault="009F24BA" w:rsidP="00A45FE4">
            <w:pPr>
              <w:ind w:right="-57"/>
              <w:jc w:val="right"/>
              <w:rPr>
                <w:rFonts w:ascii="Arial" w:hAnsi="Arial" w:cs="Arial"/>
                <w:sz w:val="20"/>
                <w:szCs w:val="20"/>
                <w:lang w:eastAsia="en-US"/>
              </w:rPr>
            </w:pPr>
            <w:r w:rsidRPr="0088338F">
              <w:rPr>
                <w:rFonts w:ascii="Arial" w:hAnsi="Arial" w:cs="Arial"/>
                <w:sz w:val="20"/>
                <w:szCs w:val="20"/>
                <w:lang w:eastAsia="en-US"/>
              </w:rPr>
              <w:t>(11 492)</w:t>
            </w:r>
          </w:p>
        </w:tc>
        <w:tc>
          <w:tcPr>
            <w:tcW w:w="1620" w:type="dxa"/>
            <w:tcBorders>
              <w:top w:val="nil"/>
              <w:left w:val="nil"/>
              <w:bottom w:val="single" w:sz="4" w:space="0" w:color="FFFFFF"/>
              <w:right w:val="single" w:sz="4" w:space="0" w:color="FFFFFF"/>
            </w:tcBorders>
            <w:shd w:val="clear" w:color="auto" w:fill="auto"/>
            <w:noWrap/>
            <w:vAlign w:val="bottom"/>
          </w:tcPr>
          <w:p w14:paraId="2D4C42C9" w14:textId="0CCEFBFB" w:rsidR="00952870" w:rsidRPr="0088338F" w:rsidRDefault="00952870" w:rsidP="00A45FE4">
            <w:pPr>
              <w:ind w:right="-57"/>
              <w:jc w:val="right"/>
              <w:rPr>
                <w:rFonts w:ascii="Arial" w:hAnsi="Arial" w:cs="Arial"/>
                <w:sz w:val="20"/>
                <w:szCs w:val="20"/>
                <w:lang w:eastAsia="en-US"/>
              </w:rPr>
            </w:pPr>
            <w:r w:rsidRPr="0088338F">
              <w:rPr>
                <w:rFonts w:ascii="Arial" w:hAnsi="Arial" w:cs="Arial"/>
                <w:sz w:val="20"/>
                <w:szCs w:val="20"/>
                <w:lang w:eastAsia="en-US"/>
              </w:rPr>
              <w:t>(11 207)</w:t>
            </w:r>
          </w:p>
        </w:tc>
      </w:tr>
      <w:tr w:rsidR="00952870" w:rsidRPr="0088338F" w14:paraId="7F308976"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7356B492"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Odpisy hmotného a nehmotného majetku</w:t>
            </w:r>
          </w:p>
        </w:tc>
        <w:tc>
          <w:tcPr>
            <w:tcW w:w="739" w:type="dxa"/>
            <w:tcBorders>
              <w:top w:val="nil"/>
              <w:left w:val="nil"/>
              <w:bottom w:val="single" w:sz="4" w:space="0" w:color="FFFFFF"/>
              <w:right w:val="single" w:sz="4" w:space="0" w:color="FFFFFF"/>
            </w:tcBorders>
            <w:shd w:val="clear" w:color="auto" w:fill="auto"/>
            <w:noWrap/>
            <w:vAlign w:val="bottom"/>
          </w:tcPr>
          <w:p w14:paraId="605A2D7D" w14:textId="77777777" w:rsidR="00952870" w:rsidRPr="0088338F" w:rsidRDefault="00952870" w:rsidP="00E00020">
            <w:pPr>
              <w:jc w:val="right"/>
              <w:rPr>
                <w:rFonts w:ascii="Arial" w:hAnsi="Arial" w:cs="Arial"/>
                <w:sz w:val="20"/>
                <w:szCs w:val="20"/>
                <w:lang w:eastAsia="en-US"/>
              </w:rPr>
            </w:pPr>
            <w:r w:rsidRPr="0088338F">
              <w:rPr>
                <w:rFonts w:ascii="Arial" w:hAnsi="Arial" w:cs="Arial"/>
                <w:sz w:val="20"/>
                <w:szCs w:val="20"/>
                <w:lang w:eastAsia="en-US"/>
              </w:rPr>
              <w:t>12.</w:t>
            </w:r>
          </w:p>
        </w:tc>
        <w:tc>
          <w:tcPr>
            <w:tcW w:w="1376" w:type="dxa"/>
            <w:tcBorders>
              <w:top w:val="nil"/>
              <w:left w:val="nil"/>
              <w:bottom w:val="single" w:sz="4" w:space="0" w:color="FFFFFF"/>
              <w:right w:val="single" w:sz="4" w:space="0" w:color="FFFFFF"/>
            </w:tcBorders>
            <w:shd w:val="clear" w:color="auto" w:fill="auto"/>
            <w:noWrap/>
            <w:vAlign w:val="bottom"/>
          </w:tcPr>
          <w:p w14:paraId="7E8FF657" w14:textId="1A93223C" w:rsidR="00952870" w:rsidRPr="0088338F" w:rsidRDefault="009F24BA" w:rsidP="00A45FE4">
            <w:pPr>
              <w:ind w:right="-57"/>
              <w:jc w:val="right"/>
              <w:rPr>
                <w:rFonts w:ascii="Arial" w:hAnsi="Arial" w:cs="Arial"/>
                <w:sz w:val="20"/>
                <w:szCs w:val="20"/>
                <w:lang w:eastAsia="en-US"/>
              </w:rPr>
            </w:pPr>
            <w:r w:rsidRPr="0088338F">
              <w:rPr>
                <w:rFonts w:ascii="Arial" w:hAnsi="Arial" w:cs="Arial"/>
                <w:sz w:val="20"/>
                <w:szCs w:val="20"/>
                <w:lang w:eastAsia="en-US"/>
              </w:rPr>
              <w:t>(374)</w:t>
            </w:r>
          </w:p>
        </w:tc>
        <w:tc>
          <w:tcPr>
            <w:tcW w:w="1620" w:type="dxa"/>
            <w:tcBorders>
              <w:top w:val="nil"/>
              <w:left w:val="nil"/>
              <w:bottom w:val="single" w:sz="4" w:space="0" w:color="FFFFFF"/>
              <w:right w:val="single" w:sz="4" w:space="0" w:color="FFFFFF"/>
            </w:tcBorders>
            <w:shd w:val="clear" w:color="auto" w:fill="auto"/>
            <w:noWrap/>
            <w:vAlign w:val="bottom"/>
          </w:tcPr>
          <w:p w14:paraId="73EA50F4" w14:textId="15B7F83C" w:rsidR="00952870" w:rsidRPr="0088338F" w:rsidRDefault="00952870" w:rsidP="00A45FE4">
            <w:pPr>
              <w:ind w:right="-57"/>
              <w:jc w:val="right"/>
              <w:rPr>
                <w:rFonts w:ascii="Arial" w:hAnsi="Arial" w:cs="Arial"/>
                <w:sz w:val="20"/>
                <w:szCs w:val="20"/>
                <w:lang w:eastAsia="en-US"/>
              </w:rPr>
            </w:pPr>
            <w:r w:rsidRPr="0088338F">
              <w:rPr>
                <w:rFonts w:ascii="Arial" w:hAnsi="Arial" w:cs="Arial"/>
                <w:sz w:val="20"/>
                <w:szCs w:val="20"/>
                <w:lang w:eastAsia="en-US"/>
              </w:rPr>
              <w:t>(513)</w:t>
            </w:r>
          </w:p>
        </w:tc>
      </w:tr>
      <w:tr w:rsidR="00952870" w:rsidRPr="0088338F" w14:paraId="4BA0D98D"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04167892"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 </w:t>
            </w:r>
          </w:p>
        </w:tc>
        <w:tc>
          <w:tcPr>
            <w:tcW w:w="739" w:type="dxa"/>
            <w:tcBorders>
              <w:top w:val="nil"/>
              <w:left w:val="nil"/>
              <w:bottom w:val="single" w:sz="4" w:space="0" w:color="FFFFFF"/>
              <w:right w:val="single" w:sz="4" w:space="0" w:color="FFFFFF"/>
            </w:tcBorders>
            <w:shd w:val="clear" w:color="auto" w:fill="auto"/>
            <w:noWrap/>
            <w:vAlign w:val="bottom"/>
          </w:tcPr>
          <w:p w14:paraId="6D1C2086"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6B18AA51" w14:textId="77777777" w:rsidR="00952870" w:rsidRPr="0088338F" w:rsidRDefault="00952870" w:rsidP="00A45FE4">
            <w:pPr>
              <w:jc w:val="right"/>
              <w:rPr>
                <w:rFonts w:ascii="Arial" w:hAnsi="Arial" w:cs="Arial"/>
                <w:sz w:val="20"/>
                <w:szCs w:val="20"/>
                <w:lang w:eastAsia="en-US"/>
              </w:rPr>
            </w:pPr>
          </w:p>
        </w:tc>
        <w:tc>
          <w:tcPr>
            <w:tcW w:w="1620" w:type="dxa"/>
            <w:tcBorders>
              <w:top w:val="nil"/>
              <w:left w:val="nil"/>
              <w:bottom w:val="single" w:sz="4" w:space="0" w:color="FFFFFF"/>
              <w:right w:val="single" w:sz="4" w:space="0" w:color="FFFFFF"/>
            </w:tcBorders>
            <w:shd w:val="clear" w:color="auto" w:fill="auto"/>
            <w:noWrap/>
            <w:vAlign w:val="bottom"/>
          </w:tcPr>
          <w:p w14:paraId="2C4AC629" w14:textId="77777777" w:rsidR="00952870" w:rsidRPr="0088338F" w:rsidRDefault="00952870" w:rsidP="00A45FE4">
            <w:pPr>
              <w:jc w:val="right"/>
              <w:rPr>
                <w:rFonts w:ascii="Arial" w:hAnsi="Arial" w:cs="Arial"/>
                <w:sz w:val="20"/>
                <w:szCs w:val="20"/>
                <w:lang w:eastAsia="en-US"/>
              </w:rPr>
            </w:pPr>
          </w:p>
        </w:tc>
      </w:tr>
      <w:tr w:rsidR="00952870" w:rsidRPr="0088338F" w14:paraId="3AFCB0E5"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74C6DB13" w14:textId="77777777" w:rsidR="00952870" w:rsidRPr="0088338F" w:rsidRDefault="00952870" w:rsidP="00D96D0F">
            <w:pPr>
              <w:rPr>
                <w:rFonts w:ascii="Arial" w:hAnsi="Arial" w:cs="Arial"/>
                <w:b/>
                <w:bCs/>
                <w:sz w:val="20"/>
                <w:szCs w:val="20"/>
                <w:lang w:eastAsia="en-US"/>
              </w:rPr>
            </w:pPr>
            <w:r w:rsidRPr="0088338F">
              <w:rPr>
                <w:rFonts w:ascii="Arial" w:hAnsi="Arial" w:cs="Arial"/>
                <w:b/>
                <w:bCs/>
                <w:sz w:val="20"/>
                <w:szCs w:val="20"/>
                <w:lang w:eastAsia="en-US"/>
              </w:rPr>
              <w:t>Prevádzkové náklady</w:t>
            </w:r>
          </w:p>
        </w:tc>
        <w:tc>
          <w:tcPr>
            <w:tcW w:w="739" w:type="dxa"/>
            <w:tcBorders>
              <w:top w:val="nil"/>
              <w:left w:val="nil"/>
              <w:bottom w:val="single" w:sz="4" w:space="0" w:color="FFFFFF"/>
              <w:right w:val="single" w:sz="4" w:space="0" w:color="FFFFFF"/>
            </w:tcBorders>
            <w:shd w:val="clear" w:color="auto" w:fill="auto"/>
            <w:noWrap/>
            <w:vAlign w:val="bottom"/>
          </w:tcPr>
          <w:p w14:paraId="0BCF547A"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2BE88771" w14:textId="4395BF37" w:rsidR="00952870" w:rsidRPr="0088338F" w:rsidRDefault="009F24BA" w:rsidP="00A45FE4">
            <w:pPr>
              <w:ind w:right="-57"/>
              <w:jc w:val="right"/>
              <w:rPr>
                <w:rFonts w:ascii="Arial" w:hAnsi="Arial" w:cs="Arial"/>
                <w:b/>
                <w:bCs/>
                <w:sz w:val="20"/>
                <w:szCs w:val="20"/>
                <w:lang w:eastAsia="en-US"/>
              </w:rPr>
            </w:pPr>
            <w:r w:rsidRPr="0088338F">
              <w:rPr>
                <w:rFonts w:ascii="Arial" w:hAnsi="Arial" w:cs="Arial"/>
                <w:b/>
                <w:bCs/>
                <w:sz w:val="20"/>
                <w:szCs w:val="20"/>
                <w:lang w:eastAsia="en-US"/>
              </w:rPr>
              <w:t>(11 866)</w:t>
            </w:r>
          </w:p>
        </w:tc>
        <w:tc>
          <w:tcPr>
            <w:tcW w:w="1620" w:type="dxa"/>
            <w:tcBorders>
              <w:top w:val="nil"/>
              <w:left w:val="nil"/>
              <w:bottom w:val="single" w:sz="4" w:space="0" w:color="FFFFFF"/>
              <w:right w:val="single" w:sz="4" w:space="0" w:color="FFFFFF"/>
            </w:tcBorders>
            <w:shd w:val="clear" w:color="auto" w:fill="auto"/>
            <w:noWrap/>
            <w:vAlign w:val="bottom"/>
          </w:tcPr>
          <w:p w14:paraId="12A0B998" w14:textId="142F786E" w:rsidR="00952870" w:rsidRPr="0088338F" w:rsidRDefault="00952870" w:rsidP="00A45FE4">
            <w:pPr>
              <w:ind w:right="-57"/>
              <w:jc w:val="right"/>
              <w:rPr>
                <w:rFonts w:ascii="Arial" w:hAnsi="Arial" w:cs="Arial"/>
                <w:b/>
                <w:bCs/>
                <w:sz w:val="20"/>
                <w:szCs w:val="20"/>
                <w:lang w:eastAsia="en-US"/>
              </w:rPr>
            </w:pPr>
            <w:r w:rsidRPr="0088338F">
              <w:rPr>
                <w:rFonts w:ascii="Arial" w:hAnsi="Arial" w:cs="Arial"/>
                <w:b/>
                <w:bCs/>
                <w:sz w:val="20"/>
                <w:szCs w:val="20"/>
                <w:lang w:eastAsia="en-US"/>
              </w:rPr>
              <w:t>(11 720)</w:t>
            </w:r>
          </w:p>
        </w:tc>
      </w:tr>
      <w:tr w:rsidR="00952870" w:rsidRPr="0088338F" w14:paraId="2DB1834C"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0B1B0F45"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 </w:t>
            </w:r>
          </w:p>
        </w:tc>
        <w:tc>
          <w:tcPr>
            <w:tcW w:w="739" w:type="dxa"/>
            <w:tcBorders>
              <w:top w:val="nil"/>
              <w:left w:val="nil"/>
              <w:bottom w:val="single" w:sz="4" w:space="0" w:color="FFFFFF"/>
              <w:right w:val="single" w:sz="4" w:space="0" w:color="FFFFFF"/>
            </w:tcBorders>
            <w:shd w:val="clear" w:color="auto" w:fill="auto"/>
            <w:noWrap/>
            <w:vAlign w:val="bottom"/>
          </w:tcPr>
          <w:p w14:paraId="282587E2"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42DABD52" w14:textId="77777777" w:rsidR="00952870" w:rsidRPr="0088338F" w:rsidRDefault="00952870" w:rsidP="00A45FE4">
            <w:pPr>
              <w:jc w:val="right"/>
              <w:rPr>
                <w:rFonts w:ascii="Arial" w:hAnsi="Arial" w:cs="Arial"/>
                <w:sz w:val="20"/>
                <w:szCs w:val="20"/>
                <w:lang w:eastAsia="en-US"/>
              </w:rPr>
            </w:pPr>
          </w:p>
        </w:tc>
        <w:tc>
          <w:tcPr>
            <w:tcW w:w="1620" w:type="dxa"/>
            <w:tcBorders>
              <w:top w:val="nil"/>
              <w:left w:val="nil"/>
              <w:bottom w:val="single" w:sz="4" w:space="0" w:color="FFFFFF"/>
              <w:right w:val="single" w:sz="4" w:space="0" w:color="FFFFFF"/>
            </w:tcBorders>
            <w:shd w:val="clear" w:color="auto" w:fill="auto"/>
            <w:noWrap/>
            <w:vAlign w:val="bottom"/>
          </w:tcPr>
          <w:p w14:paraId="5C9DD2EC" w14:textId="77777777" w:rsidR="00952870" w:rsidRPr="0088338F" w:rsidRDefault="00952870" w:rsidP="00A45FE4">
            <w:pPr>
              <w:jc w:val="right"/>
              <w:rPr>
                <w:rFonts w:ascii="Arial" w:hAnsi="Arial" w:cs="Arial"/>
                <w:sz w:val="20"/>
                <w:szCs w:val="20"/>
                <w:lang w:eastAsia="en-US"/>
              </w:rPr>
            </w:pPr>
          </w:p>
        </w:tc>
      </w:tr>
      <w:tr w:rsidR="00952870" w:rsidRPr="0088338F" w14:paraId="6BF2E0F1" w14:textId="77777777" w:rsidTr="00A45FE4">
        <w:trPr>
          <w:trHeight w:val="510"/>
        </w:trPr>
        <w:tc>
          <w:tcPr>
            <w:tcW w:w="5403" w:type="dxa"/>
            <w:tcBorders>
              <w:top w:val="nil"/>
              <w:left w:val="single" w:sz="4" w:space="0" w:color="FFFFFF"/>
              <w:bottom w:val="single" w:sz="4" w:space="0" w:color="FFFFFF"/>
              <w:right w:val="single" w:sz="4" w:space="0" w:color="FFFFFF"/>
            </w:tcBorders>
            <w:shd w:val="clear" w:color="auto" w:fill="auto"/>
            <w:vAlign w:val="bottom"/>
          </w:tcPr>
          <w:p w14:paraId="0E06D31A" w14:textId="77777777" w:rsidR="00952870" w:rsidRPr="0088338F" w:rsidRDefault="00952870" w:rsidP="00560B0A">
            <w:pPr>
              <w:ind w:left="170" w:hanging="170"/>
              <w:rPr>
                <w:rFonts w:ascii="Arial" w:hAnsi="Arial" w:cs="Arial"/>
                <w:b/>
                <w:bCs/>
                <w:sz w:val="20"/>
                <w:szCs w:val="20"/>
                <w:lang w:eastAsia="en-US"/>
              </w:rPr>
            </w:pPr>
            <w:r w:rsidRPr="0088338F">
              <w:rPr>
                <w:rFonts w:ascii="Arial" w:hAnsi="Arial" w:cs="Arial"/>
                <w:b/>
                <w:bCs/>
                <w:sz w:val="20"/>
                <w:szCs w:val="20"/>
                <w:lang w:eastAsia="en-US"/>
              </w:rPr>
              <w:t>Prevádzkový zisk</w:t>
            </w:r>
          </w:p>
        </w:tc>
        <w:tc>
          <w:tcPr>
            <w:tcW w:w="739" w:type="dxa"/>
            <w:tcBorders>
              <w:top w:val="nil"/>
              <w:left w:val="nil"/>
              <w:bottom w:val="single" w:sz="4" w:space="0" w:color="FFFFFF"/>
              <w:right w:val="single" w:sz="4" w:space="0" w:color="FFFFFF"/>
            </w:tcBorders>
            <w:shd w:val="clear" w:color="auto" w:fill="auto"/>
            <w:noWrap/>
            <w:vAlign w:val="bottom"/>
          </w:tcPr>
          <w:p w14:paraId="36DD53C7"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63E3D022" w14:textId="62D5874B" w:rsidR="00952870" w:rsidRPr="0088338F" w:rsidRDefault="009F24BA" w:rsidP="00A45FE4">
            <w:pPr>
              <w:jc w:val="right"/>
              <w:rPr>
                <w:rFonts w:ascii="Arial" w:hAnsi="Arial" w:cs="Arial"/>
                <w:b/>
                <w:bCs/>
                <w:sz w:val="20"/>
                <w:szCs w:val="20"/>
                <w:lang w:eastAsia="en-US"/>
              </w:rPr>
            </w:pPr>
            <w:r w:rsidRPr="0088338F">
              <w:rPr>
                <w:rFonts w:ascii="Arial" w:hAnsi="Arial" w:cs="Arial"/>
                <w:b/>
                <w:bCs/>
                <w:sz w:val="20"/>
                <w:szCs w:val="20"/>
                <w:lang w:eastAsia="en-US"/>
              </w:rPr>
              <w:t>10 655</w:t>
            </w:r>
          </w:p>
        </w:tc>
        <w:tc>
          <w:tcPr>
            <w:tcW w:w="1620" w:type="dxa"/>
            <w:tcBorders>
              <w:top w:val="nil"/>
              <w:left w:val="nil"/>
              <w:bottom w:val="single" w:sz="4" w:space="0" w:color="FFFFFF"/>
              <w:right w:val="single" w:sz="4" w:space="0" w:color="FFFFFF"/>
            </w:tcBorders>
            <w:shd w:val="clear" w:color="auto" w:fill="auto"/>
            <w:noWrap/>
            <w:vAlign w:val="bottom"/>
          </w:tcPr>
          <w:p w14:paraId="35B49633" w14:textId="368EE55C" w:rsidR="00952870" w:rsidRPr="0088338F" w:rsidRDefault="00952870" w:rsidP="00A45FE4">
            <w:pPr>
              <w:jc w:val="right"/>
              <w:rPr>
                <w:rFonts w:ascii="Arial" w:hAnsi="Arial" w:cs="Arial"/>
                <w:b/>
                <w:bCs/>
                <w:sz w:val="20"/>
                <w:szCs w:val="20"/>
                <w:lang w:eastAsia="en-US"/>
              </w:rPr>
            </w:pPr>
            <w:r w:rsidRPr="0088338F">
              <w:rPr>
                <w:rFonts w:ascii="Arial" w:hAnsi="Arial" w:cs="Arial"/>
                <w:b/>
                <w:bCs/>
                <w:sz w:val="20"/>
                <w:szCs w:val="20"/>
                <w:lang w:eastAsia="en-US"/>
              </w:rPr>
              <w:t>10 702</w:t>
            </w:r>
          </w:p>
        </w:tc>
      </w:tr>
      <w:tr w:rsidR="00952870" w:rsidRPr="0088338F" w14:paraId="225AB817"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5FAC6327"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 </w:t>
            </w:r>
          </w:p>
        </w:tc>
        <w:tc>
          <w:tcPr>
            <w:tcW w:w="739" w:type="dxa"/>
            <w:tcBorders>
              <w:top w:val="nil"/>
              <w:left w:val="nil"/>
              <w:bottom w:val="single" w:sz="4" w:space="0" w:color="FFFFFF"/>
              <w:right w:val="single" w:sz="4" w:space="0" w:color="FFFFFF"/>
            </w:tcBorders>
            <w:shd w:val="clear" w:color="auto" w:fill="auto"/>
            <w:noWrap/>
            <w:vAlign w:val="bottom"/>
          </w:tcPr>
          <w:p w14:paraId="7364B4B1"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7974EF38" w14:textId="77777777" w:rsidR="00952870" w:rsidRPr="0088338F" w:rsidRDefault="00952870" w:rsidP="00A45FE4">
            <w:pPr>
              <w:jc w:val="right"/>
              <w:rPr>
                <w:rFonts w:ascii="Arial" w:hAnsi="Arial" w:cs="Arial"/>
                <w:sz w:val="20"/>
                <w:szCs w:val="20"/>
                <w:lang w:eastAsia="en-US"/>
              </w:rPr>
            </w:pPr>
          </w:p>
        </w:tc>
        <w:tc>
          <w:tcPr>
            <w:tcW w:w="1620" w:type="dxa"/>
            <w:tcBorders>
              <w:top w:val="nil"/>
              <w:left w:val="nil"/>
              <w:bottom w:val="single" w:sz="4" w:space="0" w:color="FFFFFF"/>
              <w:right w:val="single" w:sz="4" w:space="0" w:color="FFFFFF"/>
            </w:tcBorders>
            <w:shd w:val="clear" w:color="auto" w:fill="auto"/>
            <w:noWrap/>
            <w:vAlign w:val="bottom"/>
          </w:tcPr>
          <w:p w14:paraId="160A408A" w14:textId="77777777" w:rsidR="00952870" w:rsidRPr="0088338F" w:rsidRDefault="00952870" w:rsidP="00A45FE4">
            <w:pPr>
              <w:jc w:val="right"/>
              <w:rPr>
                <w:rFonts w:ascii="Arial" w:hAnsi="Arial" w:cs="Arial"/>
                <w:sz w:val="20"/>
                <w:szCs w:val="20"/>
                <w:lang w:eastAsia="en-US"/>
              </w:rPr>
            </w:pPr>
          </w:p>
        </w:tc>
      </w:tr>
      <w:tr w:rsidR="00952870" w:rsidRPr="0088338F" w14:paraId="2C58BED2"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0D55088D" w14:textId="77777777" w:rsidR="00952870" w:rsidRPr="0088338F" w:rsidRDefault="00952870" w:rsidP="002B5A2E">
            <w:pPr>
              <w:ind w:left="170" w:hanging="170"/>
              <w:rPr>
                <w:rFonts w:ascii="Arial" w:hAnsi="Arial" w:cs="Arial"/>
                <w:bCs/>
                <w:sz w:val="20"/>
                <w:szCs w:val="20"/>
                <w:lang w:eastAsia="en-US"/>
              </w:rPr>
            </w:pPr>
            <w:r w:rsidRPr="0088338F">
              <w:rPr>
                <w:rFonts w:ascii="Arial" w:hAnsi="Arial" w:cs="Arial"/>
                <w:bCs/>
                <w:sz w:val="20"/>
                <w:szCs w:val="20"/>
                <w:lang w:eastAsia="en-US"/>
              </w:rPr>
              <w:t>(Tvorba)/rozpustenie opravných položiek,</w:t>
            </w:r>
          </w:p>
          <w:p w14:paraId="1235B38F" w14:textId="77777777" w:rsidR="00952870" w:rsidRPr="0088338F" w:rsidRDefault="00952870" w:rsidP="004B4247">
            <w:pPr>
              <w:ind w:left="170" w:hanging="170"/>
              <w:rPr>
                <w:rFonts w:ascii="Arial" w:hAnsi="Arial" w:cs="Arial"/>
                <w:sz w:val="20"/>
                <w:szCs w:val="20"/>
                <w:lang w:eastAsia="en-US"/>
              </w:rPr>
            </w:pPr>
            <w:r w:rsidRPr="0088338F">
              <w:rPr>
                <w:rFonts w:ascii="Arial" w:hAnsi="Arial" w:cs="Arial"/>
                <w:bCs/>
                <w:sz w:val="20"/>
                <w:szCs w:val="20"/>
                <w:lang w:eastAsia="en-US"/>
              </w:rPr>
              <w:t>odpísanie a postúpenie pohľadávok</w:t>
            </w:r>
          </w:p>
        </w:tc>
        <w:tc>
          <w:tcPr>
            <w:tcW w:w="739" w:type="dxa"/>
            <w:tcBorders>
              <w:top w:val="nil"/>
              <w:left w:val="nil"/>
              <w:bottom w:val="single" w:sz="4" w:space="0" w:color="FFFFFF"/>
              <w:right w:val="single" w:sz="4" w:space="0" w:color="FFFFFF"/>
            </w:tcBorders>
            <w:shd w:val="clear" w:color="auto" w:fill="auto"/>
            <w:noWrap/>
            <w:vAlign w:val="bottom"/>
          </w:tcPr>
          <w:p w14:paraId="3136407A" w14:textId="77777777" w:rsidR="00952870" w:rsidRPr="0088338F" w:rsidRDefault="00952870" w:rsidP="00E00020">
            <w:pPr>
              <w:jc w:val="right"/>
              <w:rPr>
                <w:rFonts w:ascii="Arial" w:hAnsi="Arial" w:cs="Arial"/>
                <w:sz w:val="20"/>
                <w:szCs w:val="20"/>
                <w:lang w:eastAsia="en-US"/>
              </w:rPr>
            </w:pPr>
            <w:r w:rsidRPr="0088338F">
              <w:rPr>
                <w:rFonts w:ascii="Arial" w:hAnsi="Arial" w:cs="Arial"/>
                <w:sz w:val="20"/>
                <w:szCs w:val="20"/>
                <w:lang w:eastAsia="en-US"/>
              </w:rPr>
              <w:t>32.</w:t>
            </w:r>
          </w:p>
        </w:tc>
        <w:tc>
          <w:tcPr>
            <w:tcW w:w="1376" w:type="dxa"/>
            <w:tcBorders>
              <w:top w:val="nil"/>
              <w:left w:val="nil"/>
              <w:bottom w:val="single" w:sz="4" w:space="0" w:color="FFFFFF"/>
              <w:right w:val="single" w:sz="4" w:space="0" w:color="FFFFFF"/>
            </w:tcBorders>
            <w:shd w:val="clear" w:color="auto" w:fill="auto"/>
            <w:noWrap/>
            <w:vAlign w:val="bottom"/>
          </w:tcPr>
          <w:p w14:paraId="095465C2" w14:textId="34B43664" w:rsidR="00952870" w:rsidRPr="0088338F" w:rsidRDefault="009F24BA" w:rsidP="00A45FE4">
            <w:pPr>
              <w:ind w:right="-57"/>
              <w:jc w:val="right"/>
              <w:rPr>
                <w:rFonts w:ascii="Arial" w:hAnsi="Arial" w:cs="Arial"/>
                <w:sz w:val="20"/>
                <w:szCs w:val="20"/>
                <w:lang w:eastAsia="en-US"/>
              </w:rPr>
            </w:pPr>
            <w:r w:rsidRPr="0088338F">
              <w:rPr>
                <w:rFonts w:ascii="Arial" w:hAnsi="Arial" w:cs="Arial"/>
                <w:sz w:val="20"/>
                <w:szCs w:val="20"/>
                <w:lang w:eastAsia="en-US"/>
              </w:rPr>
              <w:t>973</w:t>
            </w:r>
          </w:p>
        </w:tc>
        <w:tc>
          <w:tcPr>
            <w:tcW w:w="1620" w:type="dxa"/>
            <w:tcBorders>
              <w:top w:val="nil"/>
              <w:left w:val="nil"/>
              <w:bottom w:val="single" w:sz="4" w:space="0" w:color="FFFFFF"/>
              <w:right w:val="single" w:sz="4" w:space="0" w:color="FFFFFF"/>
            </w:tcBorders>
            <w:shd w:val="clear" w:color="auto" w:fill="auto"/>
            <w:noWrap/>
            <w:vAlign w:val="bottom"/>
          </w:tcPr>
          <w:p w14:paraId="05D08A5D" w14:textId="182D6088" w:rsidR="00952870" w:rsidRPr="0088338F" w:rsidRDefault="00952870" w:rsidP="00A45FE4">
            <w:pPr>
              <w:ind w:right="-57"/>
              <w:jc w:val="right"/>
              <w:rPr>
                <w:rFonts w:ascii="Arial" w:hAnsi="Arial" w:cs="Arial"/>
                <w:sz w:val="20"/>
                <w:szCs w:val="20"/>
                <w:lang w:eastAsia="en-US"/>
              </w:rPr>
            </w:pPr>
            <w:r w:rsidRPr="0088338F">
              <w:rPr>
                <w:rFonts w:ascii="Arial" w:hAnsi="Arial" w:cs="Arial"/>
                <w:sz w:val="20"/>
                <w:szCs w:val="20"/>
                <w:lang w:eastAsia="en-US"/>
              </w:rPr>
              <w:t>(2 865)</w:t>
            </w:r>
          </w:p>
        </w:tc>
      </w:tr>
      <w:tr w:rsidR="00952870" w:rsidRPr="0088338F" w14:paraId="60974E14"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639D3822" w14:textId="77777777" w:rsidR="00952870" w:rsidRPr="0088338F" w:rsidRDefault="00952870" w:rsidP="004B4247">
            <w:pPr>
              <w:rPr>
                <w:rFonts w:ascii="Arial" w:hAnsi="Arial" w:cs="Arial"/>
                <w:sz w:val="20"/>
                <w:szCs w:val="20"/>
                <w:lang w:eastAsia="en-US"/>
              </w:rPr>
            </w:pPr>
            <w:r w:rsidRPr="0088338F">
              <w:rPr>
                <w:rFonts w:ascii="Arial" w:hAnsi="Arial" w:cs="Arial"/>
                <w:sz w:val="20"/>
                <w:szCs w:val="20"/>
                <w:lang w:eastAsia="en-US"/>
              </w:rPr>
              <w:t xml:space="preserve">Čistý zisk/(strata) z predaja hmotného majetku </w:t>
            </w:r>
          </w:p>
        </w:tc>
        <w:tc>
          <w:tcPr>
            <w:tcW w:w="739" w:type="dxa"/>
            <w:tcBorders>
              <w:top w:val="nil"/>
              <w:left w:val="nil"/>
              <w:bottom w:val="single" w:sz="4" w:space="0" w:color="FFFFFF"/>
              <w:right w:val="single" w:sz="4" w:space="0" w:color="FFFFFF"/>
            </w:tcBorders>
            <w:shd w:val="clear" w:color="auto" w:fill="auto"/>
            <w:noWrap/>
            <w:vAlign w:val="bottom"/>
          </w:tcPr>
          <w:p w14:paraId="217F52E2"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2C9B7C79" w14:textId="0097749F" w:rsidR="00952870" w:rsidRPr="0088338F" w:rsidRDefault="009F24BA" w:rsidP="00A45FE4">
            <w:pPr>
              <w:jc w:val="right"/>
              <w:rPr>
                <w:rFonts w:ascii="Arial" w:hAnsi="Arial" w:cs="Arial"/>
                <w:sz w:val="20"/>
                <w:szCs w:val="20"/>
                <w:lang w:eastAsia="en-US"/>
              </w:rPr>
            </w:pPr>
            <w:r w:rsidRPr="0088338F">
              <w:rPr>
                <w:rFonts w:ascii="Arial" w:hAnsi="Arial" w:cs="Arial"/>
                <w:sz w:val="20"/>
                <w:szCs w:val="20"/>
                <w:lang w:eastAsia="en-US"/>
              </w:rPr>
              <w:t>5</w:t>
            </w:r>
          </w:p>
        </w:tc>
        <w:tc>
          <w:tcPr>
            <w:tcW w:w="1620" w:type="dxa"/>
            <w:tcBorders>
              <w:top w:val="nil"/>
              <w:left w:val="nil"/>
              <w:bottom w:val="single" w:sz="4" w:space="0" w:color="FFFFFF"/>
              <w:right w:val="single" w:sz="4" w:space="0" w:color="FFFFFF"/>
            </w:tcBorders>
            <w:shd w:val="clear" w:color="auto" w:fill="auto"/>
            <w:noWrap/>
            <w:vAlign w:val="bottom"/>
          </w:tcPr>
          <w:p w14:paraId="6402F5A9" w14:textId="7D127818" w:rsidR="00952870" w:rsidRPr="0088338F" w:rsidRDefault="00952870" w:rsidP="00A45FE4">
            <w:pPr>
              <w:ind w:right="-57"/>
              <w:jc w:val="right"/>
              <w:rPr>
                <w:rFonts w:ascii="Arial" w:hAnsi="Arial" w:cs="Arial"/>
                <w:sz w:val="20"/>
                <w:szCs w:val="20"/>
                <w:lang w:eastAsia="en-US"/>
              </w:rPr>
            </w:pPr>
            <w:r w:rsidRPr="0088338F">
              <w:rPr>
                <w:rFonts w:ascii="Arial" w:hAnsi="Arial" w:cs="Arial"/>
                <w:sz w:val="20"/>
                <w:szCs w:val="20"/>
                <w:lang w:eastAsia="en-US"/>
              </w:rPr>
              <w:t xml:space="preserve">  -</w:t>
            </w:r>
          </w:p>
        </w:tc>
      </w:tr>
      <w:tr w:rsidR="00952870" w:rsidRPr="0088338F" w14:paraId="29D2E5CA"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279B2E82" w14:textId="77777777" w:rsidR="00952870" w:rsidRPr="0088338F" w:rsidRDefault="00952870" w:rsidP="00D9560D">
            <w:pPr>
              <w:rPr>
                <w:rFonts w:ascii="Arial" w:hAnsi="Arial" w:cs="Arial"/>
                <w:sz w:val="20"/>
                <w:szCs w:val="20"/>
                <w:lang w:eastAsia="en-US"/>
              </w:rPr>
            </w:pPr>
            <w:r w:rsidRPr="0088338F">
              <w:rPr>
                <w:rFonts w:ascii="Arial" w:hAnsi="Arial" w:cs="Arial"/>
                <w:sz w:val="20"/>
                <w:szCs w:val="20"/>
                <w:lang w:eastAsia="en-US"/>
              </w:rPr>
              <w:t>(Tvorba)/rozpustenie rezerv</w:t>
            </w:r>
          </w:p>
        </w:tc>
        <w:tc>
          <w:tcPr>
            <w:tcW w:w="739" w:type="dxa"/>
            <w:tcBorders>
              <w:top w:val="nil"/>
              <w:left w:val="nil"/>
              <w:bottom w:val="single" w:sz="4" w:space="0" w:color="FFFFFF"/>
              <w:right w:val="single" w:sz="4" w:space="0" w:color="FFFFFF"/>
            </w:tcBorders>
            <w:shd w:val="clear" w:color="auto" w:fill="auto"/>
            <w:noWrap/>
            <w:vAlign w:val="bottom"/>
          </w:tcPr>
          <w:p w14:paraId="0753F185"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3A6528F3" w14:textId="4D61A684" w:rsidR="00952870" w:rsidRPr="0088338F" w:rsidRDefault="009F24BA" w:rsidP="00A45FE4">
            <w:pPr>
              <w:jc w:val="right"/>
              <w:rPr>
                <w:rFonts w:ascii="Arial" w:hAnsi="Arial" w:cs="Arial"/>
                <w:sz w:val="20"/>
                <w:szCs w:val="20"/>
                <w:lang w:eastAsia="en-US"/>
              </w:rPr>
            </w:pPr>
            <w:r w:rsidRPr="0088338F">
              <w:rPr>
                <w:rFonts w:ascii="Arial" w:hAnsi="Arial" w:cs="Arial"/>
                <w:sz w:val="20"/>
                <w:szCs w:val="20"/>
                <w:lang w:eastAsia="en-US"/>
              </w:rPr>
              <w:t>-</w:t>
            </w:r>
          </w:p>
        </w:tc>
        <w:tc>
          <w:tcPr>
            <w:tcW w:w="1620" w:type="dxa"/>
            <w:tcBorders>
              <w:top w:val="nil"/>
              <w:left w:val="nil"/>
              <w:bottom w:val="single" w:sz="4" w:space="0" w:color="FFFFFF"/>
              <w:right w:val="single" w:sz="4" w:space="0" w:color="FFFFFF"/>
            </w:tcBorders>
            <w:shd w:val="clear" w:color="auto" w:fill="auto"/>
            <w:noWrap/>
            <w:vAlign w:val="bottom"/>
          </w:tcPr>
          <w:p w14:paraId="55E0BD81" w14:textId="44DF9F7B" w:rsidR="00952870" w:rsidRPr="0088338F" w:rsidRDefault="00952870" w:rsidP="00A45FE4">
            <w:pPr>
              <w:ind w:right="-57"/>
              <w:jc w:val="right"/>
              <w:rPr>
                <w:rFonts w:ascii="Arial" w:hAnsi="Arial" w:cs="Arial"/>
                <w:sz w:val="20"/>
                <w:szCs w:val="20"/>
                <w:lang w:eastAsia="en-US"/>
              </w:rPr>
            </w:pPr>
            <w:r w:rsidRPr="0088338F">
              <w:rPr>
                <w:rFonts w:ascii="Arial" w:hAnsi="Arial" w:cs="Arial"/>
                <w:sz w:val="20"/>
                <w:szCs w:val="20"/>
                <w:lang w:eastAsia="en-US"/>
              </w:rPr>
              <w:t>6</w:t>
            </w:r>
          </w:p>
        </w:tc>
      </w:tr>
      <w:tr w:rsidR="00952870" w:rsidRPr="0088338F" w14:paraId="746D75DC"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1AC64DC0" w14:textId="77777777" w:rsidR="00952870" w:rsidRPr="0088338F" w:rsidRDefault="00952870" w:rsidP="00D96D0F">
            <w:pPr>
              <w:rPr>
                <w:rFonts w:ascii="Arial" w:hAnsi="Arial" w:cs="Arial"/>
                <w:b/>
                <w:bCs/>
                <w:sz w:val="20"/>
                <w:szCs w:val="20"/>
                <w:lang w:eastAsia="en-US"/>
              </w:rPr>
            </w:pPr>
          </w:p>
          <w:p w14:paraId="44A190A6" w14:textId="77777777" w:rsidR="00952870" w:rsidRPr="0088338F" w:rsidRDefault="00952870" w:rsidP="00D96D0F">
            <w:pPr>
              <w:rPr>
                <w:rFonts w:ascii="Arial" w:hAnsi="Arial" w:cs="Arial"/>
                <w:b/>
                <w:bCs/>
                <w:sz w:val="20"/>
                <w:szCs w:val="20"/>
                <w:lang w:eastAsia="en-US"/>
              </w:rPr>
            </w:pPr>
            <w:r w:rsidRPr="0088338F">
              <w:rPr>
                <w:rFonts w:ascii="Arial" w:hAnsi="Arial" w:cs="Arial"/>
                <w:b/>
                <w:bCs/>
                <w:sz w:val="20"/>
                <w:szCs w:val="20"/>
                <w:lang w:eastAsia="en-US"/>
              </w:rPr>
              <w:t>Zisk pred zdanením</w:t>
            </w:r>
          </w:p>
        </w:tc>
        <w:tc>
          <w:tcPr>
            <w:tcW w:w="739" w:type="dxa"/>
            <w:tcBorders>
              <w:top w:val="nil"/>
              <w:left w:val="nil"/>
              <w:bottom w:val="single" w:sz="4" w:space="0" w:color="FFFFFF"/>
              <w:right w:val="single" w:sz="4" w:space="0" w:color="FFFFFF"/>
            </w:tcBorders>
            <w:shd w:val="clear" w:color="auto" w:fill="auto"/>
            <w:noWrap/>
            <w:vAlign w:val="bottom"/>
          </w:tcPr>
          <w:p w14:paraId="0536F83D"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28DDFE06" w14:textId="363DFCFB" w:rsidR="00952870" w:rsidRPr="0088338F" w:rsidRDefault="009F24BA" w:rsidP="00A45FE4">
            <w:pPr>
              <w:jc w:val="right"/>
              <w:rPr>
                <w:rFonts w:ascii="Arial" w:hAnsi="Arial" w:cs="Arial"/>
                <w:b/>
                <w:bCs/>
                <w:sz w:val="20"/>
                <w:szCs w:val="20"/>
                <w:lang w:eastAsia="en-US"/>
              </w:rPr>
            </w:pPr>
            <w:r w:rsidRPr="0088338F">
              <w:rPr>
                <w:rFonts w:ascii="Arial" w:hAnsi="Arial" w:cs="Arial"/>
                <w:b/>
                <w:bCs/>
                <w:sz w:val="20"/>
                <w:szCs w:val="20"/>
                <w:lang w:eastAsia="en-US"/>
              </w:rPr>
              <w:t>11 633</w:t>
            </w:r>
          </w:p>
        </w:tc>
        <w:tc>
          <w:tcPr>
            <w:tcW w:w="1620" w:type="dxa"/>
            <w:tcBorders>
              <w:top w:val="nil"/>
              <w:left w:val="nil"/>
              <w:bottom w:val="single" w:sz="4" w:space="0" w:color="FFFFFF"/>
              <w:right w:val="single" w:sz="4" w:space="0" w:color="FFFFFF"/>
            </w:tcBorders>
            <w:shd w:val="clear" w:color="auto" w:fill="auto"/>
            <w:noWrap/>
            <w:vAlign w:val="bottom"/>
          </w:tcPr>
          <w:p w14:paraId="6766F90E" w14:textId="681EFA19" w:rsidR="00952870" w:rsidRPr="0088338F" w:rsidRDefault="00952870" w:rsidP="00A45FE4">
            <w:pPr>
              <w:jc w:val="right"/>
              <w:rPr>
                <w:rFonts w:ascii="Arial" w:hAnsi="Arial" w:cs="Arial"/>
                <w:b/>
                <w:bCs/>
                <w:sz w:val="20"/>
                <w:szCs w:val="20"/>
                <w:lang w:eastAsia="en-US"/>
              </w:rPr>
            </w:pPr>
            <w:r w:rsidRPr="0088338F">
              <w:rPr>
                <w:rFonts w:ascii="Arial" w:hAnsi="Arial" w:cs="Arial"/>
                <w:b/>
                <w:bCs/>
                <w:sz w:val="20"/>
                <w:szCs w:val="20"/>
                <w:lang w:eastAsia="en-US"/>
              </w:rPr>
              <w:t>7 843</w:t>
            </w:r>
          </w:p>
        </w:tc>
      </w:tr>
      <w:tr w:rsidR="00952870" w:rsidRPr="0088338F" w14:paraId="6959D403"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264F68B7" w14:textId="77777777" w:rsidR="00952870" w:rsidRPr="0088338F" w:rsidRDefault="00952870" w:rsidP="00D96D0F">
            <w:pPr>
              <w:rPr>
                <w:rFonts w:ascii="Arial" w:hAnsi="Arial" w:cs="Arial"/>
                <w:b/>
                <w:bCs/>
                <w:sz w:val="20"/>
                <w:szCs w:val="20"/>
                <w:lang w:eastAsia="en-US"/>
              </w:rPr>
            </w:pPr>
          </w:p>
        </w:tc>
        <w:tc>
          <w:tcPr>
            <w:tcW w:w="739" w:type="dxa"/>
            <w:tcBorders>
              <w:top w:val="nil"/>
              <w:left w:val="nil"/>
              <w:bottom w:val="single" w:sz="4" w:space="0" w:color="FFFFFF"/>
              <w:right w:val="single" w:sz="4" w:space="0" w:color="FFFFFF"/>
            </w:tcBorders>
            <w:shd w:val="clear" w:color="auto" w:fill="auto"/>
            <w:noWrap/>
            <w:vAlign w:val="bottom"/>
          </w:tcPr>
          <w:p w14:paraId="4F710E9E"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3F4AB0F2" w14:textId="77777777" w:rsidR="00952870" w:rsidRPr="0088338F" w:rsidRDefault="00952870" w:rsidP="00A45FE4">
            <w:pPr>
              <w:jc w:val="right"/>
              <w:rPr>
                <w:rFonts w:ascii="Arial" w:hAnsi="Arial" w:cs="Arial"/>
                <w:b/>
                <w:bCs/>
                <w:sz w:val="20"/>
                <w:szCs w:val="20"/>
                <w:lang w:eastAsia="en-US"/>
              </w:rPr>
            </w:pPr>
          </w:p>
        </w:tc>
        <w:tc>
          <w:tcPr>
            <w:tcW w:w="1620" w:type="dxa"/>
            <w:tcBorders>
              <w:top w:val="nil"/>
              <w:left w:val="nil"/>
              <w:bottom w:val="single" w:sz="4" w:space="0" w:color="FFFFFF"/>
              <w:right w:val="single" w:sz="4" w:space="0" w:color="FFFFFF"/>
            </w:tcBorders>
            <w:shd w:val="clear" w:color="auto" w:fill="auto"/>
            <w:noWrap/>
            <w:vAlign w:val="bottom"/>
          </w:tcPr>
          <w:p w14:paraId="2F72FCD2" w14:textId="77777777" w:rsidR="00952870" w:rsidRPr="0088338F" w:rsidRDefault="00952870" w:rsidP="00A45FE4">
            <w:pPr>
              <w:jc w:val="right"/>
              <w:rPr>
                <w:rFonts w:ascii="Arial" w:hAnsi="Arial" w:cs="Arial"/>
                <w:b/>
                <w:bCs/>
                <w:sz w:val="20"/>
                <w:szCs w:val="20"/>
                <w:lang w:eastAsia="en-US"/>
              </w:rPr>
            </w:pPr>
          </w:p>
        </w:tc>
      </w:tr>
      <w:tr w:rsidR="00952870" w:rsidRPr="0088338F" w14:paraId="122F8D30"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36275B1F"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Splatná daň</w:t>
            </w:r>
          </w:p>
        </w:tc>
        <w:tc>
          <w:tcPr>
            <w:tcW w:w="739" w:type="dxa"/>
            <w:tcBorders>
              <w:top w:val="nil"/>
              <w:left w:val="nil"/>
              <w:bottom w:val="single" w:sz="4" w:space="0" w:color="FFFFFF"/>
              <w:right w:val="single" w:sz="4" w:space="0" w:color="FFFFFF"/>
            </w:tcBorders>
            <w:shd w:val="clear" w:color="auto" w:fill="auto"/>
            <w:noWrap/>
            <w:vAlign w:val="bottom"/>
          </w:tcPr>
          <w:p w14:paraId="1EDF7A8C" w14:textId="77777777" w:rsidR="00952870" w:rsidRPr="0088338F" w:rsidRDefault="00952870" w:rsidP="00E00020">
            <w:pPr>
              <w:jc w:val="right"/>
              <w:rPr>
                <w:rFonts w:ascii="Arial" w:hAnsi="Arial" w:cs="Arial"/>
                <w:sz w:val="20"/>
                <w:szCs w:val="20"/>
                <w:lang w:eastAsia="en-US"/>
              </w:rPr>
            </w:pPr>
            <w:r w:rsidRPr="0088338F">
              <w:rPr>
                <w:rFonts w:ascii="Arial" w:hAnsi="Arial" w:cs="Arial"/>
                <w:sz w:val="20"/>
                <w:szCs w:val="20"/>
                <w:lang w:eastAsia="en-US"/>
              </w:rPr>
              <w:t>22.</w:t>
            </w:r>
          </w:p>
        </w:tc>
        <w:tc>
          <w:tcPr>
            <w:tcW w:w="1376" w:type="dxa"/>
            <w:tcBorders>
              <w:top w:val="nil"/>
              <w:left w:val="nil"/>
              <w:bottom w:val="single" w:sz="4" w:space="0" w:color="FFFFFF"/>
              <w:right w:val="single" w:sz="4" w:space="0" w:color="FFFFFF"/>
            </w:tcBorders>
            <w:shd w:val="clear" w:color="auto" w:fill="auto"/>
            <w:noWrap/>
            <w:vAlign w:val="bottom"/>
          </w:tcPr>
          <w:p w14:paraId="7E6D0EDE" w14:textId="1D96EF87" w:rsidR="00952870" w:rsidRPr="0088338F" w:rsidRDefault="009F24BA" w:rsidP="00A45FE4">
            <w:pPr>
              <w:ind w:right="-57"/>
              <w:jc w:val="right"/>
              <w:rPr>
                <w:rFonts w:ascii="Arial" w:hAnsi="Arial" w:cs="Arial"/>
                <w:sz w:val="20"/>
                <w:szCs w:val="20"/>
                <w:lang w:eastAsia="en-US"/>
              </w:rPr>
            </w:pPr>
            <w:r w:rsidRPr="0088338F">
              <w:rPr>
                <w:rFonts w:ascii="Arial" w:hAnsi="Arial" w:cs="Arial"/>
                <w:sz w:val="20"/>
                <w:szCs w:val="20"/>
                <w:lang w:eastAsia="en-US"/>
              </w:rPr>
              <w:t>(2 527)</w:t>
            </w:r>
          </w:p>
        </w:tc>
        <w:tc>
          <w:tcPr>
            <w:tcW w:w="1620" w:type="dxa"/>
            <w:tcBorders>
              <w:top w:val="nil"/>
              <w:left w:val="nil"/>
              <w:bottom w:val="single" w:sz="4" w:space="0" w:color="FFFFFF"/>
              <w:right w:val="single" w:sz="4" w:space="0" w:color="FFFFFF"/>
            </w:tcBorders>
            <w:shd w:val="clear" w:color="auto" w:fill="auto"/>
            <w:noWrap/>
            <w:vAlign w:val="bottom"/>
          </w:tcPr>
          <w:p w14:paraId="38E05BD3" w14:textId="0F5D66DC" w:rsidR="00952870" w:rsidRPr="0088338F" w:rsidRDefault="00952870" w:rsidP="00A45FE4">
            <w:pPr>
              <w:ind w:right="-57"/>
              <w:jc w:val="right"/>
              <w:rPr>
                <w:rFonts w:ascii="Arial" w:hAnsi="Arial" w:cs="Arial"/>
                <w:sz w:val="20"/>
                <w:szCs w:val="20"/>
                <w:lang w:eastAsia="en-US"/>
              </w:rPr>
            </w:pPr>
            <w:r w:rsidRPr="0088338F">
              <w:rPr>
                <w:rFonts w:ascii="Arial" w:hAnsi="Arial" w:cs="Arial"/>
                <w:sz w:val="20"/>
                <w:szCs w:val="20"/>
                <w:lang w:eastAsia="en-US"/>
              </w:rPr>
              <w:t>(2 646)</w:t>
            </w:r>
          </w:p>
        </w:tc>
      </w:tr>
      <w:tr w:rsidR="00952870" w:rsidRPr="0088338F" w14:paraId="2EDCC98B"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4548349E" w14:textId="77777777" w:rsidR="00952870" w:rsidRPr="0088338F" w:rsidRDefault="00952870" w:rsidP="00D96D0F">
            <w:pPr>
              <w:rPr>
                <w:rFonts w:ascii="Arial" w:hAnsi="Arial" w:cs="Arial"/>
                <w:sz w:val="20"/>
                <w:szCs w:val="20"/>
                <w:lang w:eastAsia="en-US"/>
              </w:rPr>
            </w:pPr>
            <w:r w:rsidRPr="0088338F">
              <w:rPr>
                <w:rFonts w:ascii="Arial" w:hAnsi="Arial" w:cs="Arial"/>
                <w:sz w:val="20"/>
                <w:szCs w:val="20"/>
                <w:lang w:eastAsia="en-US"/>
              </w:rPr>
              <w:t>Odložená daň</w:t>
            </w:r>
          </w:p>
        </w:tc>
        <w:tc>
          <w:tcPr>
            <w:tcW w:w="739" w:type="dxa"/>
            <w:tcBorders>
              <w:top w:val="nil"/>
              <w:left w:val="nil"/>
              <w:bottom w:val="single" w:sz="4" w:space="0" w:color="FFFFFF"/>
              <w:right w:val="single" w:sz="4" w:space="0" w:color="FFFFFF"/>
            </w:tcBorders>
            <w:shd w:val="clear" w:color="auto" w:fill="auto"/>
            <w:noWrap/>
            <w:vAlign w:val="bottom"/>
          </w:tcPr>
          <w:p w14:paraId="7E17647E" w14:textId="77777777" w:rsidR="00952870" w:rsidRPr="0088338F" w:rsidRDefault="00952870" w:rsidP="00E00020">
            <w:pPr>
              <w:jc w:val="right"/>
              <w:rPr>
                <w:rFonts w:ascii="Arial" w:hAnsi="Arial" w:cs="Arial"/>
                <w:sz w:val="20"/>
                <w:szCs w:val="20"/>
                <w:lang w:eastAsia="en-US"/>
              </w:rPr>
            </w:pPr>
            <w:r w:rsidRPr="0088338F">
              <w:rPr>
                <w:rFonts w:ascii="Arial" w:hAnsi="Arial" w:cs="Arial"/>
                <w:sz w:val="20"/>
                <w:szCs w:val="20"/>
                <w:lang w:eastAsia="en-US"/>
              </w:rPr>
              <w:t>22.</w:t>
            </w:r>
          </w:p>
        </w:tc>
        <w:tc>
          <w:tcPr>
            <w:tcW w:w="1376" w:type="dxa"/>
            <w:tcBorders>
              <w:top w:val="nil"/>
              <w:left w:val="nil"/>
              <w:bottom w:val="single" w:sz="4" w:space="0" w:color="FFFFFF"/>
              <w:right w:val="single" w:sz="4" w:space="0" w:color="FFFFFF"/>
            </w:tcBorders>
            <w:shd w:val="clear" w:color="auto" w:fill="auto"/>
            <w:noWrap/>
            <w:vAlign w:val="bottom"/>
          </w:tcPr>
          <w:p w14:paraId="62772078" w14:textId="426FD766" w:rsidR="00952870" w:rsidRPr="0088338F" w:rsidRDefault="009F24BA" w:rsidP="00A45FE4">
            <w:pPr>
              <w:jc w:val="right"/>
              <w:rPr>
                <w:rFonts w:ascii="Arial" w:hAnsi="Arial" w:cs="Arial"/>
                <w:sz w:val="20"/>
                <w:szCs w:val="20"/>
                <w:lang w:eastAsia="en-US"/>
              </w:rPr>
            </w:pPr>
            <w:r w:rsidRPr="0088338F">
              <w:rPr>
                <w:rFonts w:ascii="Arial" w:hAnsi="Arial" w:cs="Arial"/>
                <w:sz w:val="20"/>
                <w:szCs w:val="20"/>
                <w:lang w:eastAsia="en-US"/>
              </w:rPr>
              <w:t>5</w:t>
            </w:r>
          </w:p>
        </w:tc>
        <w:tc>
          <w:tcPr>
            <w:tcW w:w="1620" w:type="dxa"/>
            <w:tcBorders>
              <w:top w:val="nil"/>
              <w:left w:val="nil"/>
              <w:bottom w:val="single" w:sz="4" w:space="0" w:color="FFFFFF"/>
              <w:right w:val="single" w:sz="4" w:space="0" w:color="FFFFFF"/>
            </w:tcBorders>
            <w:shd w:val="clear" w:color="auto" w:fill="auto"/>
            <w:noWrap/>
            <w:vAlign w:val="bottom"/>
          </w:tcPr>
          <w:p w14:paraId="0F258E9D" w14:textId="646FC4EB"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37</w:t>
            </w:r>
          </w:p>
        </w:tc>
      </w:tr>
      <w:tr w:rsidR="00952870" w:rsidRPr="0088338F" w14:paraId="17CCE3FC" w14:textId="77777777" w:rsidTr="00A45F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672CAF49" w14:textId="77777777" w:rsidR="00952870" w:rsidRPr="0088338F" w:rsidRDefault="00952870" w:rsidP="00D96D0F">
            <w:pPr>
              <w:rPr>
                <w:rFonts w:ascii="Arial" w:hAnsi="Arial" w:cs="Arial"/>
                <w:sz w:val="20"/>
                <w:szCs w:val="20"/>
                <w:lang w:eastAsia="en-US"/>
              </w:rPr>
            </w:pPr>
          </w:p>
        </w:tc>
        <w:tc>
          <w:tcPr>
            <w:tcW w:w="739" w:type="dxa"/>
            <w:tcBorders>
              <w:top w:val="nil"/>
              <w:left w:val="nil"/>
              <w:bottom w:val="single" w:sz="4" w:space="0" w:color="FFFFFF"/>
              <w:right w:val="single" w:sz="4" w:space="0" w:color="FFFFFF"/>
            </w:tcBorders>
            <w:shd w:val="clear" w:color="auto" w:fill="auto"/>
            <w:noWrap/>
            <w:vAlign w:val="bottom"/>
          </w:tcPr>
          <w:p w14:paraId="384D82E6" w14:textId="77777777" w:rsidR="00952870" w:rsidRPr="0088338F" w:rsidRDefault="00952870" w:rsidP="00E00020">
            <w:pPr>
              <w:jc w:val="right"/>
              <w:rPr>
                <w:rFonts w:ascii="Arial" w:hAnsi="Arial" w:cs="Arial"/>
                <w:sz w:val="20"/>
                <w:szCs w:val="20"/>
                <w:lang w:eastAsia="en-US"/>
              </w:rPr>
            </w:pPr>
          </w:p>
        </w:tc>
        <w:tc>
          <w:tcPr>
            <w:tcW w:w="1376" w:type="dxa"/>
            <w:tcBorders>
              <w:top w:val="nil"/>
              <w:left w:val="nil"/>
              <w:bottom w:val="single" w:sz="4" w:space="0" w:color="FFFFFF"/>
              <w:right w:val="single" w:sz="4" w:space="0" w:color="FFFFFF"/>
            </w:tcBorders>
            <w:shd w:val="clear" w:color="auto" w:fill="auto"/>
            <w:noWrap/>
            <w:vAlign w:val="bottom"/>
          </w:tcPr>
          <w:p w14:paraId="10A3834E" w14:textId="77777777" w:rsidR="00952870" w:rsidRPr="0088338F" w:rsidRDefault="00952870" w:rsidP="00A45FE4">
            <w:pPr>
              <w:jc w:val="right"/>
              <w:rPr>
                <w:rFonts w:ascii="Arial" w:hAnsi="Arial" w:cs="Arial"/>
                <w:sz w:val="20"/>
                <w:szCs w:val="20"/>
                <w:lang w:eastAsia="en-US"/>
              </w:rPr>
            </w:pPr>
          </w:p>
        </w:tc>
        <w:tc>
          <w:tcPr>
            <w:tcW w:w="1620" w:type="dxa"/>
            <w:tcBorders>
              <w:top w:val="nil"/>
              <w:left w:val="nil"/>
              <w:bottom w:val="single" w:sz="4" w:space="0" w:color="FFFFFF"/>
              <w:right w:val="single" w:sz="4" w:space="0" w:color="FFFFFF"/>
            </w:tcBorders>
            <w:shd w:val="clear" w:color="auto" w:fill="auto"/>
            <w:noWrap/>
            <w:vAlign w:val="bottom"/>
          </w:tcPr>
          <w:p w14:paraId="6BF10154" w14:textId="77777777" w:rsidR="00952870" w:rsidRPr="0088338F" w:rsidRDefault="00952870" w:rsidP="00A45FE4">
            <w:pPr>
              <w:jc w:val="right"/>
              <w:rPr>
                <w:rFonts w:ascii="Arial" w:hAnsi="Arial" w:cs="Arial"/>
                <w:sz w:val="20"/>
                <w:szCs w:val="20"/>
                <w:lang w:eastAsia="en-US"/>
              </w:rPr>
            </w:pPr>
          </w:p>
        </w:tc>
      </w:tr>
      <w:tr w:rsidR="00952870" w:rsidRPr="0088338F" w14:paraId="6AE2AB5D" w14:textId="77777777" w:rsidTr="00A45FE4">
        <w:trPr>
          <w:trHeight w:val="315"/>
        </w:trPr>
        <w:tc>
          <w:tcPr>
            <w:tcW w:w="5403" w:type="dxa"/>
            <w:tcBorders>
              <w:top w:val="single" w:sz="4" w:space="0" w:color="FFFFFF"/>
              <w:left w:val="single" w:sz="4" w:space="0" w:color="FFFFFF"/>
              <w:bottom w:val="single" w:sz="12" w:space="0" w:color="auto"/>
              <w:right w:val="single" w:sz="4" w:space="0" w:color="FFFFFF"/>
            </w:tcBorders>
            <w:shd w:val="clear" w:color="auto" w:fill="auto"/>
            <w:noWrap/>
            <w:vAlign w:val="bottom"/>
          </w:tcPr>
          <w:p w14:paraId="2A5306C0" w14:textId="77777777" w:rsidR="00952870" w:rsidRPr="0088338F" w:rsidRDefault="00952870" w:rsidP="00D96D0F">
            <w:pPr>
              <w:rPr>
                <w:rFonts w:ascii="Arial" w:hAnsi="Arial" w:cs="Arial"/>
                <w:b/>
                <w:bCs/>
                <w:sz w:val="22"/>
                <w:szCs w:val="22"/>
                <w:lang w:eastAsia="en-US"/>
              </w:rPr>
            </w:pPr>
            <w:r w:rsidRPr="0088338F">
              <w:rPr>
                <w:rFonts w:ascii="Arial" w:hAnsi="Arial" w:cs="Arial"/>
                <w:b/>
                <w:bCs/>
                <w:sz w:val="22"/>
                <w:szCs w:val="22"/>
                <w:lang w:eastAsia="en-US"/>
              </w:rPr>
              <w:t>Zisk po zdanení</w:t>
            </w:r>
          </w:p>
        </w:tc>
        <w:tc>
          <w:tcPr>
            <w:tcW w:w="739" w:type="dxa"/>
            <w:tcBorders>
              <w:top w:val="single" w:sz="4" w:space="0" w:color="FFFFFF"/>
              <w:left w:val="nil"/>
              <w:bottom w:val="single" w:sz="12" w:space="0" w:color="auto"/>
              <w:right w:val="single" w:sz="4" w:space="0" w:color="FFFFFF"/>
            </w:tcBorders>
            <w:shd w:val="clear" w:color="auto" w:fill="auto"/>
            <w:noWrap/>
            <w:vAlign w:val="bottom"/>
          </w:tcPr>
          <w:p w14:paraId="4E36C32C" w14:textId="77777777" w:rsidR="00952870" w:rsidRPr="0088338F" w:rsidRDefault="00952870" w:rsidP="00E00020">
            <w:pPr>
              <w:jc w:val="right"/>
              <w:rPr>
                <w:rFonts w:ascii="Arial" w:hAnsi="Arial" w:cs="Arial"/>
                <w:sz w:val="20"/>
                <w:szCs w:val="20"/>
                <w:lang w:eastAsia="en-US"/>
              </w:rPr>
            </w:pPr>
          </w:p>
        </w:tc>
        <w:tc>
          <w:tcPr>
            <w:tcW w:w="1376" w:type="dxa"/>
            <w:tcBorders>
              <w:top w:val="single" w:sz="4" w:space="0" w:color="FFFFFF"/>
              <w:left w:val="nil"/>
              <w:bottom w:val="single" w:sz="12" w:space="0" w:color="auto"/>
              <w:right w:val="single" w:sz="4" w:space="0" w:color="FFFFFF"/>
            </w:tcBorders>
            <w:shd w:val="clear" w:color="auto" w:fill="auto"/>
            <w:noWrap/>
            <w:vAlign w:val="bottom"/>
          </w:tcPr>
          <w:p w14:paraId="25EA5D81" w14:textId="57A73739" w:rsidR="00952870" w:rsidRPr="0088338F" w:rsidRDefault="009F24BA" w:rsidP="00A45FE4">
            <w:pPr>
              <w:jc w:val="right"/>
              <w:rPr>
                <w:rFonts w:ascii="Arial" w:hAnsi="Arial" w:cs="Arial"/>
                <w:b/>
                <w:bCs/>
                <w:sz w:val="22"/>
                <w:szCs w:val="22"/>
                <w:lang w:eastAsia="en-US"/>
              </w:rPr>
            </w:pPr>
            <w:r w:rsidRPr="0088338F">
              <w:rPr>
                <w:rFonts w:ascii="Arial" w:hAnsi="Arial" w:cs="Arial"/>
                <w:b/>
                <w:bCs/>
                <w:sz w:val="22"/>
                <w:szCs w:val="22"/>
                <w:lang w:eastAsia="en-US"/>
              </w:rPr>
              <w:t>9 111</w:t>
            </w:r>
          </w:p>
        </w:tc>
        <w:tc>
          <w:tcPr>
            <w:tcW w:w="1620" w:type="dxa"/>
            <w:tcBorders>
              <w:top w:val="single" w:sz="4" w:space="0" w:color="FFFFFF"/>
              <w:left w:val="nil"/>
              <w:bottom w:val="single" w:sz="12" w:space="0" w:color="auto"/>
              <w:right w:val="single" w:sz="4" w:space="0" w:color="FFFFFF"/>
            </w:tcBorders>
            <w:shd w:val="clear" w:color="auto" w:fill="auto"/>
            <w:noWrap/>
            <w:vAlign w:val="bottom"/>
          </w:tcPr>
          <w:p w14:paraId="2B11F4A2" w14:textId="3C013DB5" w:rsidR="00952870" w:rsidRPr="0088338F" w:rsidRDefault="00952870" w:rsidP="00A45FE4">
            <w:pPr>
              <w:jc w:val="right"/>
              <w:rPr>
                <w:rFonts w:ascii="Arial" w:hAnsi="Arial" w:cs="Arial"/>
                <w:b/>
                <w:bCs/>
                <w:sz w:val="22"/>
                <w:szCs w:val="22"/>
                <w:lang w:eastAsia="en-US"/>
              </w:rPr>
            </w:pPr>
            <w:r w:rsidRPr="0088338F">
              <w:rPr>
                <w:rFonts w:ascii="Arial" w:hAnsi="Arial" w:cs="Arial"/>
                <w:b/>
                <w:bCs/>
                <w:sz w:val="22"/>
                <w:szCs w:val="22"/>
                <w:lang w:eastAsia="en-US"/>
              </w:rPr>
              <w:t>5 234</w:t>
            </w:r>
          </w:p>
        </w:tc>
      </w:tr>
    </w:tbl>
    <w:p w14:paraId="14D4F7B0" w14:textId="77777777" w:rsidR="00BE1B01" w:rsidRPr="0088338F" w:rsidRDefault="00BE1B01" w:rsidP="00CD4D1E">
      <w:pPr>
        <w:jc w:val="both"/>
        <w:rPr>
          <w:rFonts w:ascii="Arial" w:hAnsi="Arial" w:cs="Arial"/>
          <w:sz w:val="20"/>
          <w:szCs w:val="20"/>
        </w:rPr>
      </w:pPr>
    </w:p>
    <w:p w14:paraId="492ED9CD" w14:textId="45DCDF36" w:rsidR="007B7908" w:rsidRPr="0088338F" w:rsidRDefault="003813E0" w:rsidP="00410E96">
      <w:pPr>
        <w:rPr>
          <w:rStyle w:val="PageNumber"/>
          <w:rFonts w:ascii="Arial" w:hAnsi="Arial" w:cs="Arial"/>
          <w:sz w:val="20"/>
          <w:szCs w:val="20"/>
        </w:rPr>
      </w:pPr>
      <w:r w:rsidRPr="0088338F">
        <w:rPr>
          <w:rFonts w:ascii="Arial" w:hAnsi="Arial" w:cs="Arial"/>
          <w:sz w:val="20"/>
          <w:szCs w:val="20"/>
        </w:rPr>
        <w:t xml:space="preserve">Poznámky na stranách </w:t>
      </w:r>
      <w:r w:rsidR="00327938" w:rsidRPr="0088338F">
        <w:rPr>
          <w:rFonts w:ascii="Arial" w:hAnsi="Arial" w:cs="Arial"/>
          <w:sz w:val="20"/>
          <w:szCs w:val="20"/>
        </w:rPr>
        <w:t xml:space="preserve">12 až </w:t>
      </w:r>
      <w:r w:rsidR="00327938" w:rsidRPr="0088338F">
        <w:rPr>
          <w:rStyle w:val="PageNumber"/>
          <w:rFonts w:ascii="Arial" w:hAnsi="Arial" w:cs="Arial"/>
          <w:sz w:val="20"/>
          <w:szCs w:val="20"/>
        </w:rPr>
        <w:t xml:space="preserve">76 </w:t>
      </w:r>
      <w:r w:rsidRPr="0088338F">
        <w:rPr>
          <w:rStyle w:val="PageNumber"/>
          <w:rFonts w:ascii="Arial" w:hAnsi="Arial" w:cs="Arial"/>
          <w:sz w:val="20"/>
          <w:szCs w:val="20"/>
        </w:rPr>
        <w:t>sú súčasťou tejto účtovnej závierky</w:t>
      </w:r>
    </w:p>
    <w:p w14:paraId="25667686" w14:textId="77777777" w:rsidR="00897BA4" w:rsidRPr="0088338F" w:rsidRDefault="00DC32CA" w:rsidP="00410E96">
      <w:pPr>
        <w:rPr>
          <w:rFonts w:ascii="Arial" w:hAnsi="Arial" w:cs="Arial"/>
          <w:sz w:val="20"/>
          <w:szCs w:val="20"/>
        </w:rPr>
        <w:sectPr w:rsidR="00897BA4" w:rsidRPr="0088338F">
          <w:headerReference w:type="default" r:id="rId19"/>
          <w:pgSz w:w="11906" w:h="16838"/>
          <w:pgMar w:top="1417" w:right="1417" w:bottom="1417" w:left="1417" w:header="708" w:footer="708" w:gutter="0"/>
          <w:cols w:space="708"/>
          <w:docGrid w:linePitch="360"/>
        </w:sectPr>
      </w:pPr>
      <w:r w:rsidRPr="0088338F">
        <w:rPr>
          <w:rStyle w:val="PageNumber"/>
          <w:rFonts w:ascii="Arial" w:hAnsi="Arial" w:cs="Arial"/>
          <w:sz w:val="20"/>
          <w:szCs w:val="20"/>
        </w:rPr>
        <w:t>.</w:t>
      </w:r>
    </w:p>
    <w:p w14:paraId="66DDBF7B" w14:textId="77777777" w:rsidR="00F83D14" w:rsidRPr="0088338F" w:rsidRDefault="00F83D14" w:rsidP="00CD4D1E">
      <w:pPr>
        <w:jc w:val="both"/>
        <w:rPr>
          <w:rFonts w:ascii="Arial" w:hAnsi="Arial" w:cs="Arial"/>
          <w:sz w:val="20"/>
          <w:szCs w:val="20"/>
        </w:rPr>
      </w:pPr>
    </w:p>
    <w:tbl>
      <w:tblPr>
        <w:tblW w:w="9138" w:type="dxa"/>
        <w:tblInd w:w="103" w:type="dxa"/>
        <w:tblLook w:val="04A0" w:firstRow="1" w:lastRow="0" w:firstColumn="1" w:lastColumn="0" w:noHBand="0" w:noVBand="1"/>
      </w:tblPr>
      <w:tblGrid>
        <w:gridCol w:w="5403"/>
        <w:gridCol w:w="739"/>
        <w:gridCol w:w="1518"/>
        <w:gridCol w:w="1478"/>
      </w:tblGrid>
      <w:tr w:rsidR="00BF7CFD" w:rsidRPr="0088338F" w14:paraId="0CC87E6B" w14:textId="77777777" w:rsidTr="00AE23E4">
        <w:trPr>
          <w:trHeight w:val="510"/>
        </w:trPr>
        <w:tc>
          <w:tcPr>
            <w:tcW w:w="5403" w:type="dxa"/>
            <w:tcBorders>
              <w:top w:val="single" w:sz="12" w:space="0" w:color="auto"/>
              <w:left w:val="single" w:sz="4" w:space="0" w:color="FFFFFF"/>
              <w:bottom w:val="single" w:sz="4" w:space="0" w:color="auto"/>
              <w:right w:val="single" w:sz="4" w:space="0" w:color="FFFFFF"/>
            </w:tcBorders>
            <w:shd w:val="clear" w:color="auto" w:fill="auto"/>
            <w:noWrap/>
            <w:vAlign w:val="bottom"/>
          </w:tcPr>
          <w:p w14:paraId="6407B27D" w14:textId="77777777" w:rsidR="00BF7CFD" w:rsidRPr="0088338F" w:rsidRDefault="00BF7CFD" w:rsidP="0012152A">
            <w:pPr>
              <w:rPr>
                <w:rFonts w:ascii="Arial" w:hAnsi="Arial" w:cs="Arial"/>
                <w:b/>
                <w:bCs/>
                <w:sz w:val="20"/>
                <w:szCs w:val="20"/>
                <w:lang w:eastAsia="en-US"/>
              </w:rPr>
            </w:pPr>
            <w:r w:rsidRPr="0088338F">
              <w:rPr>
                <w:rFonts w:ascii="Arial" w:hAnsi="Arial" w:cs="Arial"/>
                <w:b/>
                <w:bCs/>
                <w:sz w:val="20"/>
                <w:szCs w:val="20"/>
                <w:lang w:eastAsia="en-US"/>
              </w:rPr>
              <w:t> </w:t>
            </w:r>
          </w:p>
        </w:tc>
        <w:tc>
          <w:tcPr>
            <w:tcW w:w="739" w:type="dxa"/>
            <w:tcBorders>
              <w:top w:val="single" w:sz="12" w:space="0" w:color="auto"/>
              <w:left w:val="nil"/>
              <w:bottom w:val="single" w:sz="4" w:space="0" w:color="auto"/>
              <w:right w:val="single" w:sz="4" w:space="0" w:color="FFFFFF"/>
            </w:tcBorders>
            <w:shd w:val="clear" w:color="auto" w:fill="auto"/>
            <w:vAlign w:val="bottom"/>
          </w:tcPr>
          <w:p w14:paraId="16575954" w14:textId="77777777" w:rsidR="00BF7CFD" w:rsidRPr="0088338F" w:rsidRDefault="00BF7CFD" w:rsidP="0012152A">
            <w:pPr>
              <w:jc w:val="right"/>
              <w:rPr>
                <w:rFonts w:ascii="Arial" w:hAnsi="Arial" w:cs="Arial"/>
                <w:b/>
                <w:bCs/>
                <w:sz w:val="20"/>
                <w:szCs w:val="20"/>
                <w:lang w:eastAsia="en-US"/>
              </w:rPr>
            </w:pPr>
            <w:r w:rsidRPr="0088338F">
              <w:rPr>
                <w:rFonts w:ascii="Arial" w:hAnsi="Arial" w:cs="Arial"/>
                <w:b/>
                <w:bCs/>
                <w:sz w:val="20"/>
                <w:szCs w:val="20"/>
                <w:lang w:eastAsia="en-US"/>
              </w:rPr>
              <w:t>Bod.</w:t>
            </w:r>
            <w:r w:rsidRPr="0088338F">
              <w:rPr>
                <w:rFonts w:ascii="Arial" w:hAnsi="Arial" w:cs="Arial"/>
                <w:b/>
                <w:bCs/>
                <w:sz w:val="20"/>
                <w:szCs w:val="20"/>
                <w:lang w:eastAsia="en-US"/>
              </w:rPr>
              <w:br/>
              <w:t>pozn.</w:t>
            </w:r>
          </w:p>
        </w:tc>
        <w:tc>
          <w:tcPr>
            <w:tcW w:w="1518" w:type="dxa"/>
            <w:tcBorders>
              <w:top w:val="single" w:sz="12" w:space="0" w:color="auto"/>
              <w:left w:val="nil"/>
              <w:bottom w:val="single" w:sz="4" w:space="0" w:color="auto"/>
              <w:right w:val="single" w:sz="4" w:space="0" w:color="FFFFFF"/>
            </w:tcBorders>
            <w:shd w:val="clear" w:color="auto" w:fill="auto"/>
            <w:vAlign w:val="bottom"/>
          </w:tcPr>
          <w:p w14:paraId="300A9EEB" w14:textId="085BF293" w:rsidR="00BF7CFD" w:rsidRPr="0088338F" w:rsidRDefault="00BF7CFD" w:rsidP="00952870">
            <w:pPr>
              <w:jc w:val="right"/>
              <w:rPr>
                <w:rFonts w:ascii="Arial" w:hAnsi="Arial" w:cs="Arial"/>
                <w:b/>
                <w:bCs/>
                <w:sz w:val="20"/>
                <w:szCs w:val="20"/>
                <w:lang w:eastAsia="en-US"/>
              </w:rPr>
            </w:pPr>
            <w:r w:rsidRPr="0088338F">
              <w:rPr>
                <w:rFonts w:ascii="Arial" w:hAnsi="Arial" w:cs="Arial"/>
                <w:b/>
                <w:bCs/>
                <w:sz w:val="20"/>
                <w:szCs w:val="20"/>
                <w:lang w:eastAsia="en-US"/>
              </w:rPr>
              <w:t>20</w:t>
            </w:r>
            <w:r w:rsidR="00AE23E4" w:rsidRPr="0088338F">
              <w:rPr>
                <w:rFonts w:ascii="Arial" w:hAnsi="Arial" w:cs="Arial"/>
                <w:b/>
                <w:bCs/>
                <w:sz w:val="20"/>
                <w:szCs w:val="20"/>
                <w:lang w:eastAsia="en-US"/>
              </w:rPr>
              <w:t>1</w:t>
            </w:r>
            <w:r w:rsidR="00952870" w:rsidRPr="0088338F">
              <w:rPr>
                <w:rFonts w:ascii="Arial" w:hAnsi="Arial" w:cs="Arial"/>
                <w:b/>
                <w:bCs/>
                <w:sz w:val="20"/>
                <w:szCs w:val="20"/>
                <w:lang w:eastAsia="en-US"/>
              </w:rPr>
              <w:t>6</w:t>
            </w:r>
            <w:r w:rsidRPr="0088338F">
              <w:rPr>
                <w:rFonts w:ascii="Arial" w:hAnsi="Arial" w:cs="Arial"/>
                <w:b/>
                <w:bCs/>
                <w:sz w:val="20"/>
                <w:szCs w:val="20"/>
                <w:lang w:eastAsia="en-US"/>
              </w:rPr>
              <w:br/>
              <w:t>tis. EUR</w:t>
            </w:r>
          </w:p>
        </w:tc>
        <w:tc>
          <w:tcPr>
            <w:tcW w:w="1478" w:type="dxa"/>
            <w:tcBorders>
              <w:top w:val="single" w:sz="12" w:space="0" w:color="auto"/>
              <w:left w:val="nil"/>
              <w:bottom w:val="single" w:sz="4" w:space="0" w:color="auto"/>
              <w:right w:val="single" w:sz="4" w:space="0" w:color="FFFFFF"/>
            </w:tcBorders>
            <w:shd w:val="clear" w:color="auto" w:fill="auto"/>
            <w:vAlign w:val="bottom"/>
          </w:tcPr>
          <w:p w14:paraId="227F6814" w14:textId="20C42093" w:rsidR="00BF7CFD" w:rsidRPr="0088338F" w:rsidRDefault="00BF7CFD" w:rsidP="00952870">
            <w:pPr>
              <w:jc w:val="right"/>
              <w:rPr>
                <w:rFonts w:ascii="Arial" w:hAnsi="Arial" w:cs="Arial"/>
                <w:b/>
                <w:bCs/>
                <w:sz w:val="20"/>
                <w:szCs w:val="20"/>
                <w:lang w:eastAsia="en-US"/>
              </w:rPr>
            </w:pPr>
            <w:r w:rsidRPr="0088338F">
              <w:rPr>
                <w:rFonts w:ascii="Arial" w:hAnsi="Arial" w:cs="Arial"/>
                <w:b/>
                <w:bCs/>
                <w:sz w:val="20"/>
                <w:szCs w:val="20"/>
                <w:lang w:eastAsia="en-US"/>
              </w:rPr>
              <w:t>20</w:t>
            </w:r>
            <w:r w:rsidR="002B5A2E" w:rsidRPr="0088338F">
              <w:rPr>
                <w:rFonts w:ascii="Arial" w:hAnsi="Arial" w:cs="Arial"/>
                <w:b/>
                <w:bCs/>
                <w:sz w:val="20"/>
                <w:szCs w:val="20"/>
                <w:lang w:eastAsia="en-US"/>
              </w:rPr>
              <w:t>1</w:t>
            </w:r>
            <w:r w:rsidR="00952870" w:rsidRPr="0088338F">
              <w:rPr>
                <w:rFonts w:ascii="Arial" w:hAnsi="Arial" w:cs="Arial"/>
                <w:b/>
                <w:bCs/>
                <w:sz w:val="20"/>
                <w:szCs w:val="20"/>
                <w:lang w:eastAsia="en-US"/>
              </w:rPr>
              <w:t>5</w:t>
            </w:r>
            <w:r w:rsidRPr="0088338F">
              <w:rPr>
                <w:rFonts w:ascii="Arial" w:hAnsi="Arial" w:cs="Arial"/>
                <w:b/>
                <w:bCs/>
                <w:sz w:val="20"/>
                <w:szCs w:val="20"/>
                <w:lang w:eastAsia="en-US"/>
              </w:rPr>
              <w:br/>
              <w:t>tis. EUR</w:t>
            </w:r>
          </w:p>
        </w:tc>
      </w:tr>
      <w:tr w:rsidR="00BF7CFD" w:rsidRPr="0088338F" w14:paraId="7742659D" w14:textId="77777777">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02A6765D" w14:textId="77777777" w:rsidR="00BF7CFD" w:rsidRPr="0088338F" w:rsidRDefault="00BF7CFD" w:rsidP="0012152A">
            <w:pPr>
              <w:rPr>
                <w:rFonts w:ascii="Arial" w:hAnsi="Arial" w:cs="Arial"/>
                <w:sz w:val="20"/>
                <w:szCs w:val="20"/>
                <w:lang w:eastAsia="en-US"/>
              </w:rPr>
            </w:pPr>
          </w:p>
        </w:tc>
        <w:tc>
          <w:tcPr>
            <w:tcW w:w="739" w:type="dxa"/>
            <w:tcBorders>
              <w:top w:val="nil"/>
              <w:left w:val="nil"/>
              <w:bottom w:val="single" w:sz="4" w:space="0" w:color="FFFFFF"/>
              <w:right w:val="single" w:sz="4" w:space="0" w:color="FFFFFF"/>
            </w:tcBorders>
            <w:shd w:val="clear" w:color="auto" w:fill="auto"/>
            <w:noWrap/>
            <w:vAlign w:val="bottom"/>
          </w:tcPr>
          <w:p w14:paraId="471776B2" w14:textId="77777777" w:rsidR="00BF7CFD" w:rsidRPr="0088338F" w:rsidRDefault="00BF7CFD" w:rsidP="0012152A">
            <w:pPr>
              <w:jc w:val="right"/>
              <w:rPr>
                <w:rFonts w:ascii="Arial" w:hAnsi="Arial" w:cs="Arial"/>
                <w:sz w:val="20"/>
                <w:szCs w:val="20"/>
                <w:lang w:eastAsia="en-US"/>
              </w:rPr>
            </w:pPr>
          </w:p>
        </w:tc>
        <w:tc>
          <w:tcPr>
            <w:tcW w:w="1518" w:type="dxa"/>
            <w:tcBorders>
              <w:top w:val="nil"/>
              <w:left w:val="nil"/>
              <w:bottom w:val="single" w:sz="4" w:space="0" w:color="FFFFFF"/>
              <w:right w:val="single" w:sz="4" w:space="0" w:color="FFFFFF"/>
            </w:tcBorders>
            <w:shd w:val="clear" w:color="auto" w:fill="auto"/>
            <w:noWrap/>
            <w:vAlign w:val="bottom"/>
          </w:tcPr>
          <w:p w14:paraId="6A316B3F" w14:textId="77777777" w:rsidR="00BF7CFD" w:rsidRPr="0088338F" w:rsidRDefault="00BF7CFD" w:rsidP="0012152A">
            <w:pPr>
              <w:jc w:val="right"/>
              <w:rPr>
                <w:rFonts w:ascii="Arial" w:hAnsi="Arial" w:cs="Arial"/>
                <w:sz w:val="20"/>
                <w:szCs w:val="20"/>
                <w:lang w:eastAsia="en-US"/>
              </w:rPr>
            </w:pPr>
          </w:p>
        </w:tc>
        <w:tc>
          <w:tcPr>
            <w:tcW w:w="1478" w:type="dxa"/>
            <w:tcBorders>
              <w:top w:val="nil"/>
              <w:left w:val="nil"/>
              <w:bottom w:val="single" w:sz="4" w:space="0" w:color="FFFFFF"/>
              <w:right w:val="single" w:sz="4" w:space="0" w:color="FFFFFF"/>
            </w:tcBorders>
            <w:shd w:val="clear" w:color="auto" w:fill="auto"/>
            <w:noWrap/>
            <w:vAlign w:val="bottom"/>
          </w:tcPr>
          <w:p w14:paraId="04EC45E7" w14:textId="77777777" w:rsidR="00BF7CFD" w:rsidRPr="0088338F" w:rsidRDefault="00BF7CFD" w:rsidP="0012152A">
            <w:pPr>
              <w:jc w:val="right"/>
              <w:rPr>
                <w:rFonts w:ascii="Arial" w:hAnsi="Arial" w:cs="Arial"/>
                <w:sz w:val="20"/>
                <w:szCs w:val="20"/>
                <w:lang w:eastAsia="en-US"/>
              </w:rPr>
            </w:pPr>
          </w:p>
        </w:tc>
      </w:tr>
      <w:tr w:rsidR="00952870" w:rsidRPr="0088338F" w14:paraId="3832C5B0" w14:textId="77777777">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494128CD" w14:textId="77777777" w:rsidR="00952870" w:rsidRPr="0088338F" w:rsidRDefault="00952870" w:rsidP="0012152A">
            <w:pPr>
              <w:rPr>
                <w:rFonts w:ascii="Arial" w:hAnsi="Arial" w:cs="Arial"/>
                <w:b/>
                <w:bCs/>
                <w:sz w:val="20"/>
                <w:szCs w:val="20"/>
                <w:lang w:eastAsia="en-US"/>
              </w:rPr>
            </w:pPr>
            <w:r w:rsidRPr="0088338F">
              <w:rPr>
                <w:rFonts w:ascii="Arial" w:hAnsi="Arial" w:cs="Arial"/>
                <w:b/>
                <w:bCs/>
                <w:sz w:val="20"/>
                <w:szCs w:val="20"/>
                <w:lang w:eastAsia="en-US"/>
              </w:rPr>
              <w:t>Zisk po zdanení z výkazu ziskov a strát</w:t>
            </w:r>
          </w:p>
        </w:tc>
        <w:tc>
          <w:tcPr>
            <w:tcW w:w="739" w:type="dxa"/>
            <w:tcBorders>
              <w:top w:val="nil"/>
              <w:left w:val="nil"/>
              <w:bottom w:val="single" w:sz="4" w:space="0" w:color="FFFFFF"/>
              <w:right w:val="single" w:sz="4" w:space="0" w:color="FFFFFF"/>
            </w:tcBorders>
            <w:shd w:val="clear" w:color="auto" w:fill="auto"/>
            <w:noWrap/>
            <w:vAlign w:val="bottom"/>
          </w:tcPr>
          <w:p w14:paraId="63C7288C" w14:textId="77777777" w:rsidR="00952870" w:rsidRPr="0088338F" w:rsidRDefault="00952870" w:rsidP="0012152A">
            <w:pPr>
              <w:jc w:val="right"/>
              <w:rPr>
                <w:rFonts w:ascii="Arial" w:hAnsi="Arial" w:cs="Arial"/>
                <w:sz w:val="20"/>
                <w:szCs w:val="20"/>
                <w:lang w:eastAsia="en-US"/>
              </w:rPr>
            </w:pPr>
          </w:p>
        </w:tc>
        <w:tc>
          <w:tcPr>
            <w:tcW w:w="1518" w:type="dxa"/>
            <w:tcBorders>
              <w:top w:val="nil"/>
              <w:left w:val="nil"/>
              <w:bottom w:val="single" w:sz="4" w:space="0" w:color="FFFFFF"/>
              <w:right w:val="single" w:sz="4" w:space="0" w:color="FFFFFF"/>
            </w:tcBorders>
            <w:shd w:val="clear" w:color="auto" w:fill="auto"/>
            <w:noWrap/>
            <w:vAlign w:val="bottom"/>
          </w:tcPr>
          <w:p w14:paraId="6A6B6829" w14:textId="5FC00B34" w:rsidR="00952870" w:rsidRPr="0088338F" w:rsidRDefault="000252F9" w:rsidP="00A45FE4">
            <w:pPr>
              <w:jc w:val="right"/>
              <w:rPr>
                <w:rFonts w:ascii="Arial" w:hAnsi="Arial" w:cs="Arial"/>
                <w:b/>
                <w:bCs/>
                <w:sz w:val="20"/>
                <w:szCs w:val="20"/>
                <w:lang w:eastAsia="en-US"/>
              </w:rPr>
            </w:pPr>
            <w:r w:rsidRPr="0088338F">
              <w:rPr>
                <w:rFonts w:ascii="Arial" w:hAnsi="Arial" w:cs="Arial"/>
                <w:b/>
                <w:bCs/>
                <w:sz w:val="20"/>
                <w:szCs w:val="20"/>
                <w:lang w:eastAsia="en-US"/>
              </w:rPr>
              <w:t>9 111</w:t>
            </w:r>
          </w:p>
        </w:tc>
        <w:tc>
          <w:tcPr>
            <w:tcW w:w="1478" w:type="dxa"/>
            <w:tcBorders>
              <w:top w:val="nil"/>
              <w:left w:val="nil"/>
              <w:bottom w:val="single" w:sz="4" w:space="0" w:color="FFFFFF"/>
              <w:right w:val="single" w:sz="4" w:space="0" w:color="FFFFFF"/>
            </w:tcBorders>
            <w:shd w:val="clear" w:color="auto" w:fill="auto"/>
            <w:noWrap/>
            <w:vAlign w:val="bottom"/>
          </w:tcPr>
          <w:p w14:paraId="3587DCEA" w14:textId="78132EC7" w:rsidR="00952870" w:rsidRPr="0088338F" w:rsidRDefault="00952870" w:rsidP="00A45FE4">
            <w:pPr>
              <w:jc w:val="right"/>
              <w:rPr>
                <w:rFonts w:ascii="Arial" w:hAnsi="Arial" w:cs="Arial"/>
                <w:b/>
                <w:bCs/>
                <w:sz w:val="20"/>
                <w:szCs w:val="20"/>
                <w:lang w:eastAsia="en-US"/>
              </w:rPr>
            </w:pPr>
            <w:r w:rsidRPr="0088338F">
              <w:rPr>
                <w:rFonts w:ascii="Arial" w:hAnsi="Arial" w:cs="Arial"/>
                <w:b/>
                <w:bCs/>
                <w:sz w:val="20"/>
                <w:szCs w:val="20"/>
                <w:lang w:eastAsia="en-US"/>
              </w:rPr>
              <w:t>5 234</w:t>
            </w:r>
          </w:p>
        </w:tc>
      </w:tr>
      <w:tr w:rsidR="00952870" w:rsidRPr="0088338F" w14:paraId="17385E7A" w14:textId="77777777">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0ED6D21F" w14:textId="77777777" w:rsidR="00952870" w:rsidRPr="0088338F" w:rsidRDefault="00952870" w:rsidP="0012152A">
            <w:pPr>
              <w:rPr>
                <w:rFonts w:ascii="Arial" w:hAnsi="Arial" w:cs="Arial"/>
                <w:b/>
                <w:bCs/>
                <w:sz w:val="20"/>
                <w:szCs w:val="20"/>
                <w:lang w:eastAsia="en-US"/>
              </w:rPr>
            </w:pPr>
          </w:p>
        </w:tc>
        <w:tc>
          <w:tcPr>
            <w:tcW w:w="739" w:type="dxa"/>
            <w:tcBorders>
              <w:top w:val="nil"/>
              <w:left w:val="nil"/>
              <w:bottom w:val="single" w:sz="4" w:space="0" w:color="FFFFFF"/>
              <w:right w:val="single" w:sz="4" w:space="0" w:color="FFFFFF"/>
            </w:tcBorders>
            <w:shd w:val="clear" w:color="auto" w:fill="auto"/>
            <w:noWrap/>
            <w:vAlign w:val="bottom"/>
          </w:tcPr>
          <w:p w14:paraId="6247B94A" w14:textId="77777777" w:rsidR="00952870" w:rsidRPr="0088338F" w:rsidRDefault="00952870" w:rsidP="0012152A">
            <w:pPr>
              <w:jc w:val="right"/>
              <w:rPr>
                <w:rFonts w:ascii="Arial" w:hAnsi="Arial" w:cs="Arial"/>
                <w:sz w:val="20"/>
                <w:szCs w:val="20"/>
                <w:lang w:eastAsia="en-US"/>
              </w:rPr>
            </w:pPr>
          </w:p>
        </w:tc>
        <w:tc>
          <w:tcPr>
            <w:tcW w:w="1518" w:type="dxa"/>
            <w:tcBorders>
              <w:top w:val="nil"/>
              <w:left w:val="nil"/>
              <w:bottom w:val="single" w:sz="4" w:space="0" w:color="FFFFFF"/>
              <w:right w:val="single" w:sz="4" w:space="0" w:color="FFFFFF"/>
            </w:tcBorders>
            <w:shd w:val="clear" w:color="auto" w:fill="auto"/>
            <w:noWrap/>
            <w:vAlign w:val="bottom"/>
          </w:tcPr>
          <w:p w14:paraId="749C3767" w14:textId="77777777" w:rsidR="00952870" w:rsidRPr="0088338F" w:rsidRDefault="00952870" w:rsidP="00A45FE4">
            <w:pPr>
              <w:jc w:val="right"/>
              <w:rPr>
                <w:rFonts w:ascii="Arial" w:hAnsi="Arial" w:cs="Arial"/>
                <w:b/>
                <w:bCs/>
                <w:sz w:val="20"/>
                <w:szCs w:val="20"/>
                <w:lang w:eastAsia="en-US"/>
              </w:rPr>
            </w:pPr>
          </w:p>
        </w:tc>
        <w:tc>
          <w:tcPr>
            <w:tcW w:w="1478" w:type="dxa"/>
            <w:tcBorders>
              <w:top w:val="nil"/>
              <w:left w:val="nil"/>
              <w:bottom w:val="single" w:sz="4" w:space="0" w:color="FFFFFF"/>
              <w:right w:val="single" w:sz="4" w:space="0" w:color="FFFFFF"/>
            </w:tcBorders>
            <w:shd w:val="clear" w:color="auto" w:fill="auto"/>
            <w:noWrap/>
            <w:vAlign w:val="bottom"/>
          </w:tcPr>
          <w:p w14:paraId="28065D5C" w14:textId="77777777" w:rsidR="00952870" w:rsidRPr="0088338F" w:rsidRDefault="00952870" w:rsidP="00A45FE4">
            <w:pPr>
              <w:jc w:val="right"/>
              <w:rPr>
                <w:rFonts w:ascii="Arial" w:hAnsi="Arial" w:cs="Arial"/>
                <w:b/>
                <w:bCs/>
                <w:sz w:val="20"/>
                <w:szCs w:val="20"/>
                <w:lang w:eastAsia="en-US"/>
              </w:rPr>
            </w:pPr>
          </w:p>
        </w:tc>
      </w:tr>
      <w:tr w:rsidR="00952870" w:rsidRPr="0088338F" w14:paraId="5B234C3F" w14:textId="77777777">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688D2FCE" w14:textId="77777777" w:rsidR="00952870" w:rsidRPr="0088338F" w:rsidRDefault="00952870" w:rsidP="0012152A">
            <w:pPr>
              <w:rPr>
                <w:rFonts w:ascii="Arial" w:hAnsi="Arial" w:cs="Arial"/>
                <w:sz w:val="20"/>
                <w:szCs w:val="20"/>
                <w:lang w:eastAsia="en-US"/>
              </w:rPr>
            </w:pPr>
            <w:r w:rsidRPr="0088338F">
              <w:rPr>
                <w:rFonts w:ascii="Arial" w:hAnsi="Arial" w:cs="Arial"/>
                <w:sz w:val="20"/>
                <w:szCs w:val="20"/>
                <w:lang w:eastAsia="en-US"/>
              </w:rPr>
              <w:t>Precenenie cenných papierov k dispozícii na predaj</w:t>
            </w:r>
          </w:p>
        </w:tc>
        <w:tc>
          <w:tcPr>
            <w:tcW w:w="739" w:type="dxa"/>
            <w:tcBorders>
              <w:top w:val="nil"/>
              <w:left w:val="nil"/>
              <w:bottom w:val="single" w:sz="4" w:space="0" w:color="FFFFFF"/>
              <w:right w:val="single" w:sz="4" w:space="0" w:color="FFFFFF"/>
            </w:tcBorders>
            <w:shd w:val="clear" w:color="auto" w:fill="auto"/>
            <w:noWrap/>
            <w:vAlign w:val="bottom"/>
          </w:tcPr>
          <w:p w14:paraId="0B6FE89A" w14:textId="77777777" w:rsidR="00952870" w:rsidRPr="0088338F" w:rsidRDefault="00952870" w:rsidP="0012152A">
            <w:pPr>
              <w:jc w:val="right"/>
              <w:rPr>
                <w:rFonts w:ascii="Arial" w:hAnsi="Arial" w:cs="Arial"/>
                <w:sz w:val="20"/>
                <w:szCs w:val="20"/>
                <w:lang w:eastAsia="en-US"/>
              </w:rPr>
            </w:pPr>
          </w:p>
        </w:tc>
        <w:tc>
          <w:tcPr>
            <w:tcW w:w="1518" w:type="dxa"/>
            <w:tcBorders>
              <w:top w:val="nil"/>
              <w:left w:val="nil"/>
              <w:bottom w:val="single" w:sz="4" w:space="0" w:color="FFFFFF"/>
              <w:right w:val="single" w:sz="4" w:space="0" w:color="FFFFFF"/>
            </w:tcBorders>
            <w:shd w:val="clear" w:color="auto" w:fill="auto"/>
            <w:noWrap/>
            <w:vAlign w:val="bottom"/>
          </w:tcPr>
          <w:p w14:paraId="5F3B0B99" w14:textId="657ABFC0" w:rsidR="00952870" w:rsidRPr="0088338F" w:rsidRDefault="000252F9" w:rsidP="00A45FE4">
            <w:pPr>
              <w:ind w:right="-57"/>
              <w:jc w:val="right"/>
              <w:rPr>
                <w:rFonts w:ascii="Arial" w:hAnsi="Arial" w:cs="Arial"/>
                <w:sz w:val="20"/>
                <w:szCs w:val="20"/>
                <w:lang w:eastAsia="en-US"/>
              </w:rPr>
            </w:pPr>
            <w:r w:rsidRPr="0088338F">
              <w:rPr>
                <w:rFonts w:ascii="Arial" w:hAnsi="Arial" w:cs="Arial"/>
                <w:sz w:val="20"/>
                <w:szCs w:val="20"/>
                <w:lang w:eastAsia="en-US"/>
              </w:rPr>
              <w:t>365</w:t>
            </w:r>
          </w:p>
        </w:tc>
        <w:tc>
          <w:tcPr>
            <w:tcW w:w="1478" w:type="dxa"/>
            <w:tcBorders>
              <w:top w:val="nil"/>
              <w:left w:val="nil"/>
              <w:bottom w:val="single" w:sz="4" w:space="0" w:color="FFFFFF"/>
              <w:right w:val="single" w:sz="4" w:space="0" w:color="FFFFFF"/>
            </w:tcBorders>
            <w:shd w:val="clear" w:color="auto" w:fill="auto"/>
            <w:noWrap/>
            <w:vAlign w:val="bottom"/>
          </w:tcPr>
          <w:p w14:paraId="7738DA80" w14:textId="15C2AE9D"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(973)</w:t>
            </w:r>
          </w:p>
        </w:tc>
      </w:tr>
      <w:tr w:rsidR="00952870" w:rsidRPr="0088338F" w14:paraId="5B39D4B4" w14:textId="77777777">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7430EE84" w14:textId="77777777" w:rsidR="00952870" w:rsidRPr="0088338F" w:rsidRDefault="00952870" w:rsidP="0012152A">
            <w:pPr>
              <w:rPr>
                <w:rFonts w:ascii="Arial" w:hAnsi="Arial" w:cs="Arial"/>
                <w:sz w:val="20"/>
                <w:szCs w:val="20"/>
                <w:lang w:eastAsia="en-US"/>
              </w:rPr>
            </w:pPr>
            <w:r w:rsidRPr="0088338F">
              <w:rPr>
                <w:rFonts w:ascii="Arial" w:hAnsi="Arial" w:cs="Arial"/>
                <w:sz w:val="20"/>
                <w:szCs w:val="20"/>
                <w:lang w:eastAsia="en-US"/>
              </w:rPr>
              <w:t>Odložená daň k cenným papierom k dispozícii na predaj</w:t>
            </w:r>
          </w:p>
        </w:tc>
        <w:tc>
          <w:tcPr>
            <w:tcW w:w="739" w:type="dxa"/>
            <w:tcBorders>
              <w:top w:val="nil"/>
              <w:left w:val="nil"/>
              <w:bottom w:val="single" w:sz="4" w:space="0" w:color="FFFFFF"/>
              <w:right w:val="single" w:sz="4" w:space="0" w:color="FFFFFF"/>
            </w:tcBorders>
            <w:shd w:val="clear" w:color="auto" w:fill="auto"/>
            <w:noWrap/>
            <w:vAlign w:val="bottom"/>
          </w:tcPr>
          <w:p w14:paraId="143B31CC" w14:textId="77777777" w:rsidR="00952870" w:rsidRPr="0088338F" w:rsidRDefault="00952870" w:rsidP="0012152A">
            <w:pPr>
              <w:jc w:val="right"/>
              <w:rPr>
                <w:rFonts w:ascii="Arial" w:hAnsi="Arial" w:cs="Arial"/>
                <w:sz w:val="20"/>
                <w:szCs w:val="20"/>
                <w:lang w:eastAsia="en-US"/>
              </w:rPr>
            </w:pPr>
          </w:p>
        </w:tc>
        <w:tc>
          <w:tcPr>
            <w:tcW w:w="1518" w:type="dxa"/>
            <w:tcBorders>
              <w:top w:val="nil"/>
              <w:left w:val="nil"/>
              <w:bottom w:val="single" w:sz="4" w:space="0" w:color="FFFFFF"/>
              <w:right w:val="single" w:sz="4" w:space="0" w:color="FFFFFF"/>
            </w:tcBorders>
            <w:shd w:val="clear" w:color="auto" w:fill="auto"/>
            <w:noWrap/>
            <w:vAlign w:val="bottom"/>
          </w:tcPr>
          <w:p w14:paraId="3DF20BB1" w14:textId="311B1E3D" w:rsidR="00952870" w:rsidRPr="0088338F" w:rsidRDefault="000252F9" w:rsidP="00A45FE4">
            <w:pPr>
              <w:jc w:val="right"/>
              <w:rPr>
                <w:rFonts w:ascii="Arial" w:hAnsi="Arial" w:cs="Arial"/>
                <w:sz w:val="20"/>
                <w:szCs w:val="20"/>
                <w:lang w:eastAsia="en-US"/>
              </w:rPr>
            </w:pPr>
            <w:r w:rsidRPr="0088338F">
              <w:rPr>
                <w:rFonts w:ascii="Arial" w:hAnsi="Arial" w:cs="Arial"/>
                <w:sz w:val="20"/>
                <w:szCs w:val="20"/>
                <w:lang w:eastAsia="en-US"/>
              </w:rPr>
              <w:t>(47)</w:t>
            </w:r>
          </w:p>
        </w:tc>
        <w:tc>
          <w:tcPr>
            <w:tcW w:w="1478" w:type="dxa"/>
            <w:tcBorders>
              <w:top w:val="nil"/>
              <w:left w:val="nil"/>
              <w:bottom w:val="single" w:sz="4" w:space="0" w:color="FFFFFF"/>
              <w:right w:val="single" w:sz="4" w:space="0" w:color="FFFFFF"/>
            </w:tcBorders>
            <w:shd w:val="clear" w:color="auto" w:fill="auto"/>
            <w:noWrap/>
            <w:vAlign w:val="bottom"/>
          </w:tcPr>
          <w:p w14:paraId="09B76211" w14:textId="7DCB1A01" w:rsidR="00952870" w:rsidRPr="0088338F" w:rsidRDefault="00952870" w:rsidP="00A45FE4">
            <w:pPr>
              <w:ind w:right="-57"/>
              <w:jc w:val="right"/>
              <w:rPr>
                <w:rFonts w:ascii="Arial" w:hAnsi="Arial" w:cs="Arial"/>
                <w:sz w:val="20"/>
                <w:szCs w:val="20"/>
                <w:lang w:eastAsia="en-US"/>
              </w:rPr>
            </w:pPr>
            <w:r w:rsidRPr="0088338F">
              <w:rPr>
                <w:rFonts w:ascii="Arial" w:hAnsi="Arial" w:cs="Arial"/>
                <w:sz w:val="20"/>
                <w:szCs w:val="20"/>
                <w:lang w:eastAsia="en-US"/>
              </w:rPr>
              <w:t>214</w:t>
            </w:r>
          </w:p>
        </w:tc>
      </w:tr>
      <w:tr w:rsidR="00952870" w:rsidRPr="0088338F" w14:paraId="01BA6F5D" w14:textId="77777777" w:rsidTr="00AE23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54A1F5E0" w14:textId="77777777" w:rsidR="00952870" w:rsidRPr="0088338F" w:rsidRDefault="00952870" w:rsidP="0012152A">
            <w:pPr>
              <w:rPr>
                <w:rFonts w:ascii="Arial" w:hAnsi="Arial" w:cs="Arial"/>
                <w:sz w:val="20"/>
                <w:szCs w:val="20"/>
                <w:lang w:eastAsia="en-US"/>
              </w:rPr>
            </w:pPr>
          </w:p>
          <w:p w14:paraId="64626F36" w14:textId="77777777" w:rsidR="00952870" w:rsidRPr="0088338F" w:rsidRDefault="00952870" w:rsidP="00017F32">
            <w:pPr>
              <w:rPr>
                <w:rFonts w:ascii="Arial" w:hAnsi="Arial" w:cs="Arial"/>
                <w:sz w:val="20"/>
                <w:szCs w:val="20"/>
                <w:lang w:eastAsia="en-US"/>
              </w:rPr>
            </w:pPr>
            <w:r w:rsidRPr="0088338F">
              <w:rPr>
                <w:rFonts w:ascii="Arial" w:hAnsi="Arial" w:cs="Arial"/>
                <w:sz w:val="20"/>
                <w:szCs w:val="20"/>
                <w:lang w:eastAsia="en-US"/>
              </w:rPr>
              <w:t>Precenenie zabezpečovacích derivátov peňažných tokov</w:t>
            </w:r>
          </w:p>
        </w:tc>
        <w:tc>
          <w:tcPr>
            <w:tcW w:w="739" w:type="dxa"/>
            <w:tcBorders>
              <w:top w:val="nil"/>
              <w:left w:val="nil"/>
              <w:bottom w:val="single" w:sz="4" w:space="0" w:color="FFFFFF"/>
              <w:right w:val="single" w:sz="4" w:space="0" w:color="FFFFFF"/>
            </w:tcBorders>
            <w:shd w:val="clear" w:color="auto" w:fill="auto"/>
            <w:noWrap/>
            <w:vAlign w:val="bottom"/>
          </w:tcPr>
          <w:p w14:paraId="2F51467B" w14:textId="77777777" w:rsidR="00952870" w:rsidRPr="0088338F" w:rsidRDefault="00952870" w:rsidP="0012152A">
            <w:pPr>
              <w:jc w:val="right"/>
              <w:rPr>
                <w:rFonts w:ascii="Arial" w:hAnsi="Arial" w:cs="Arial"/>
                <w:sz w:val="20"/>
                <w:szCs w:val="20"/>
                <w:lang w:eastAsia="en-US"/>
              </w:rPr>
            </w:pPr>
          </w:p>
        </w:tc>
        <w:tc>
          <w:tcPr>
            <w:tcW w:w="1518" w:type="dxa"/>
            <w:tcBorders>
              <w:top w:val="nil"/>
              <w:left w:val="nil"/>
              <w:bottom w:val="single" w:sz="4" w:space="0" w:color="FFFFFF"/>
              <w:right w:val="single" w:sz="4" w:space="0" w:color="FFFFFF"/>
            </w:tcBorders>
            <w:shd w:val="clear" w:color="auto" w:fill="auto"/>
            <w:noWrap/>
            <w:vAlign w:val="bottom"/>
          </w:tcPr>
          <w:p w14:paraId="5C09AAAF" w14:textId="7863DCCE" w:rsidR="00952870" w:rsidRPr="0088338F" w:rsidRDefault="000252F9" w:rsidP="00A45FE4">
            <w:pPr>
              <w:jc w:val="right"/>
              <w:rPr>
                <w:rFonts w:ascii="Arial" w:hAnsi="Arial" w:cs="Arial"/>
                <w:sz w:val="20"/>
                <w:szCs w:val="20"/>
                <w:lang w:eastAsia="en-US"/>
              </w:rPr>
            </w:pPr>
            <w:r w:rsidRPr="0088338F">
              <w:rPr>
                <w:rFonts w:ascii="Arial" w:hAnsi="Arial" w:cs="Arial"/>
                <w:sz w:val="20"/>
                <w:szCs w:val="20"/>
                <w:lang w:eastAsia="en-US"/>
              </w:rPr>
              <w:t>75</w:t>
            </w:r>
          </w:p>
        </w:tc>
        <w:tc>
          <w:tcPr>
            <w:tcW w:w="1478" w:type="dxa"/>
            <w:tcBorders>
              <w:top w:val="nil"/>
              <w:left w:val="nil"/>
              <w:bottom w:val="single" w:sz="4" w:space="0" w:color="FFFFFF"/>
              <w:right w:val="single" w:sz="4" w:space="0" w:color="FFFFFF"/>
            </w:tcBorders>
            <w:shd w:val="clear" w:color="auto" w:fill="auto"/>
            <w:noWrap/>
            <w:vAlign w:val="bottom"/>
          </w:tcPr>
          <w:p w14:paraId="79E5D8C8" w14:textId="7D9BB6D6" w:rsidR="00952870" w:rsidRPr="0088338F" w:rsidRDefault="00952870" w:rsidP="00A45FE4">
            <w:pPr>
              <w:ind w:right="-57"/>
              <w:jc w:val="right"/>
              <w:rPr>
                <w:rFonts w:ascii="Arial" w:hAnsi="Arial" w:cs="Arial"/>
                <w:sz w:val="20"/>
                <w:szCs w:val="20"/>
                <w:lang w:eastAsia="en-US"/>
              </w:rPr>
            </w:pPr>
            <w:r w:rsidRPr="0088338F">
              <w:rPr>
                <w:rFonts w:ascii="Arial" w:hAnsi="Arial" w:cs="Arial"/>
                <w:sz w:val="20"/>
                <w:szCs w:val="20"/>
                <w:lang w:eastAsia="en-US"/>
              </w:rPr>
              <w:t>35</w:t>
            </w:r>
          </w:p>
        </w:tc>
      </w:tr>
      <w:tr w:rsidR="00952870" w:rsidRPr="0088338F" w14:paraId="10749A5A" w14:textId="77777777" w:rsidTr="00AE23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684EFC41" w14:textId="77777777" w:rsidR="00952870" w:rsidRPr="0088338F" w:rsidRDefault="00952870" w:rsidP="0012152A">
            <w:pPr>
              <w:rPr>
                <w:rFonts w:ascii="Arial" w:hAnsi="Arial" w:cs="Arial"/>
                <w:sz w:val="20"/>
                <w:szCs w:val="20"/>
                <w:lang w:eastAsia="en-US"/>
              </w:rPr>
            </w:pPr>
            <w:r w:rsidRPr="0088338F">
              <w:rPr>
                <w:rFonts w:ascii="Arial" w:hAnsi="Arial" w:cs="Arial"/>
                <w:sz w:val="20"/>
                <w:szCs w:val="20"/>
                <w:lang w:eastAsia="en-US"/>
              </w:rPr>
              <w:t>Odložená daň k zabezpečovacím derivátom peňažných tokov</w:t>
            </w:r>
          </w:p>
        </w:tc>
        <w:tc>
          <w:tcPr>
            <w:tcW w:w="739" w:type="dxa"/>
            <w:tcBorders>
              <w:top w:val="nil"/>
              <w:left w:val="nil"/>
              <w:bottom w:val="single" w:sz="4" w:space="0" w:color="FFFFFF"/>
              <w:right w:val="single" w:sz="4" w:space="0" w:color="FFFFFF"/>
            </w:tcBorders>
            <w:shd w:val="clear" w:color="auto" w:fill="auto"/>
            <w:noWrap/>
            <w:vAlign w:val="bottom"/>
          </w:tcPr>
          <w:p w14:paraId="39302FAB" w14:textId="77777777" w:rsidR="00952870" w:rsidRPr="0088338F" w:rsidRDefault="00952870" w:rsidP="0012152A">
            <w:pPr>
              <w:jc w:val="right"/>
              <w:rPr>
                <w:rFonts w:ascii="Arial" w:hAnsi="Arial" w:cs="Arial"/>
                <w:sz w:val="20"/>
                <w:szCs w:val="20"/>
                <w:lang w:eastAsia="en-US"/>
              </w:rPr>
            </w:pPr>
          </w:p>
        </w:tc>
        <w:tc>
          <w:tcPr>
            <w:tcW w:w="1518" w:type="dxa"/>
            <w:tcBorders>
              <w:top w:val="nil"/>
              <w:left w:val="nil"/>
              <w:bottom w:val="single" w:sz="4" w:space="0" w:color="FFFFFF"/>
              <w:right w:val="single" w:sz="4" w:space="0" w:color="FFFFFF"/>
            </w:tcBorders>
            <w:shd w:val="clear" w:color="auto" w:fill="auto"/>
            <w:noWrap/>
            <w:vAlign w:val="bottom"/>
          </w:tcPr>
          <w:p w14:paraId="08A18CBD" w14:textId="2A1AB217" w:rsidR="00952870" w:rsidRPr="0088338F" w:rsidRDefault="000252F9" w:rsidP="00A45FE4">
            <w:pPr>
              <w:ind w:right="-57"/>
              <w:jc w:val="right"/>
              <w:rPr>
                <w:rFonts w:ascii="Arial" w:hAnsi="Arial" w:cs="Arial"/>
                <w:sz w:val="20"/>
                <w:szCs w:val="20"/>
                <w:lang w:eastAsia="en-US"/>
              </w:rPr>
            </w:pPr>
            <w:r w:rsidRPr="0088338F">
              <w:rPr>
                <w:rFonts w:ascii="Arial" w:hAnsi="Arial" w:cs="Arial"/>
                <w:sz w:val="20"/>
                <w:szCs w:val="20"/>
                <w:lang w:eastAsia="en-US"/>
              </w:rPr>
              <w:t>(18)</w:t>
            </w:r>
          </w:p>
        </w:tc>
        <w:tc>
          <w:tcPr>
            <w:tcW w:w="1478" w:type="dxa"/>
            <w:tcBorders>
              <w:top w:val="nil"/>
              <w:left w:val="nil"/>
              <w:bottom w:val="single" w:sz="4" w:space="0" w:color="FFFFFF"/>
              <w:right w:val="single" w:sz="4" w:space="0" w:color="FFFFFF"/>
            </w:tcBorders>
            <w:shd w:val="clear" w:color="auto" w:fill="auto"/>
            <w:noWrap/>
            <w:vAlign w:val="bottom"/>
          </w:tcPr>
          <w:p w14:paraId="38A0EB6E" w14:textId="0BBB9163" w:rsidR="00952870" w:rsidRPr="0088338F" w:rsidRDefault="00952870" w:rsidP="00A45FE4">
            <w:pPr>
              <w:jc w:val="right"/>
              <w:rPr>
                <w:rFonts w:ascii="Arial" w:hAnsi="Arial" w:cs="Arial"/>
                <w:sz w:val="20"/>
                <w:szCs w:val="20"/>
                <w:lang w:eastAsia="en-US"/>
              </w:rPr>
            </w:pPr>
            <w:r w:rsidRPr="0088338F">
              <w:rPr>
                <w:rFonts w:ascii="Arial" w:hAnsi="Arial" w:cs="Arial"/>
                <w:sz w:val="20"/>
                <w:szCs w:val="20"/>
                <w:lang w:eastAsia="en-US"/>
              </w:rPr>
              <w:t>(8)</w:t>
            </w:r>
          </w:p>
        </w:tc>
      </w:tr>
      <w:tr w:rsidR="00952870" w:rsidRPr="0088338F" w14:paraId="6981A0D0" w14:textId="77777777" w:rsidTr="00AE23E4">
        <w:trPr>
          <w:trHeight w:val="255"/>
        </w:trPr>
        <w:tc>
          <w:tcPr>
            <w:tcW w:w="5403" w:type="dxa"/>
            <w:tcBorders>
              <w:top w:val="nil"/>
              <w:left w:val="single" w:sz="4" w:space="0" w:color="FFFFFF"/>
              <w:bottom w:val="single" w:sz="4" w:space="0" w:color="FFFFFF"/>
              <w:right w:val="single" w:sz="4" w:space="0" w:color="FFFFFF"/>
            </w:tcBorders>
            <w:shd w:val="clear" w:color="auto" w:fill="auto"/>
            <w:noWrap/>
            <w:vAlign w:val="bottom"/>
          </w:tcPr>
          <w:p w14:paraId="64523BCB" w14:textId="77777777" w:rsidR="00952870" w:rsidRPr="0088338F" w:rsidRDefault="00952870" w:rsidP="0012152A">
            <w:pPr>
              <w:rPr>
                <w:rFonts w:ascii="Arial" w:hAnsi="Arial" w:cs="Arial"/>
                <w:sz w:val="20"/>
                <w:szCs w:val="20"/>
                <w:lang w:eastAsia="en-US"/>
              </w:rPr>
            </w:pPr>
          </w:p>
        </w:tc>
        <w:tc>
          <w:tcPr>
            <w:tcW w:w="739" w:type="dxa"/>
            <w:tcBorders>
              <w:top w:val="nil"/>
              <w:left w:val="nil"/>
              <w:bottom w:val="single" w:sz="4" w:space="0" w:color="FFFFFF"/>
              <w:right w:val="single" w:sz="4" w:space="0" w:color="FFFFFF"/>
            </w:tcBorders>
            <w:shd w:val="clear" w:color="auto" w:fill="auto"/>
            <w:noWrap/>
            <w:vAlign w:val="bottom"/>
          </w:tcPr>
          <w:p w14:paraId="41CCD76D" w14:textId="77777777" w:rsidR="00952870" w:rsidRPr="0088338F" w:rsidRDefault="00952870" w:rsidP="0012152A">
            <w:pPr>
              <w:jc w:val="right"/>
              <w:rPr>
                <w:rFonts w:ascii="Arial" w:hAnsi="Arial" w:cs="Arial"/>
                <w:sz w:val="20"/>
                <w:szCs w:val="20"/>
                <w:lang w:eastAsia="en-US"/>
              </w:rPr>
            </w:pPr>
          </w:p>
        </w:tc>
        <w:tc>
          <w:tcPr>
            <w:tcW w:w="1518" w:type="dxa"/>
            <w:tcBorders>
              <w:top w:val="nil"/>
              <w:left w:val="nil"/>
              <w:bottom w:val="single" w:sz="4" w:space="0" w:color="FFFFFF"/>
              <w:right w:val="single" w:sz="4" w:space="0" w:color="FFFFFF"/>
            </w:tcBorders>
            <w:shd w:val="clear" w:color="auto" w:fill="auto"/>
            <w:noWrap/>
            <w:vAlign w:val="bottom"/>
          </w:tcPr>
          <w:p w14:paraId="6A715406" w14:textId="77777777" w:rsidR="00952870" w:rsidRPr="0088338F" w:rsidRDefault="00952870" w:rsidP="00A45FE4">
            <w:pPr>
              <w:jc w:val="right"/>
              <w:rPr>
                <w:rFonts w:ascii="Arial" w:hAnsi="Arial" w:cs="Arial"/>
                <w:sz w:val="20"/>
                <w:szCs w:val="20"/>
                <w:lang w:eastAsia="en-US"/>
              </w:rPr>
            </w:pPr>
          </w:p>
        </w:tc>
        <w:tc>
          <w:tcPr>
            <w:tcW w:w="1478" w:type="dxa"/>
            <w:tcBorders>
              <w:top w:val="nil"/>
              <w:left w:val="nil"/>
              <w:bottom w:val="single" w:sz="4" w:space="0" w:color="FFFFFF"/>
              <w:right w:val="single" w:sz="4" w:space="0" w:color="FFFFFF"/>
            </w:tcBorders>
            <w:shd w:val="clear" w:color="auto" w:fill="auto"/>
            <w:noWrap/>
            <w:vAlign w:val="bottom"/>
          </w:tcPr>
          <w:p w14:paraId="18B16BCF" w14:textId="77777777" w:rsidR="00952870" w:rsidRPr="0088338F" w:rsidRDefault="00952870" w:rsidP="00A45FE4">
            <w:pPr>
              <w:jc w:val="right"/>
              <w:rPr>
                <w:rFonts w:ascii="Arial" w:hAnsi="Arial" w:cs="Arial"/>
                <w:sz w:val="20"/>
                <w:szCs w:val="20"/>
                <w:lang w:eastAsia="en-US"/>
              </w:rPr>
            </w:pPr>
          </w:p>
        </w:tc>
      </w:tr>
      <w:tr w:rsidR="00952870" w:rsidRPr="0088338F" w14:paraId="3B100E7E" w14:textId="77777777" w:rsidTr="00AE23E4">
        <w:trPr>
          <w:trHeight w:val="315"/>
        </w:trPr>
        <w:tc>
          <w:tcPr>
            <w:tcW w:w="5403" w:type="dxa"/>
            <w:tcBorders>
              <w:top w:val="single" w:sz="4" w:space="0" w:color="FFFFFF"/>
              <w:left w:val="single" w:sz="4" w:space="0" w:color="FFFFFF"/>
              <w:bottom w:val="single" w:sz="12" w:space="0" w:color="auto"/>
              <w:right w:val="single" w:sz="4" w:space="0" w:color="FFFFFF"/>
            </w:tcBorders>
            <w:shd w:val="clear" w:color="auto" w:fill="auto"/>
            <w:noWrap/>
            <w:vAlign w:val="bottom"/>
          </w:tcPr>
          <w:p w14:paraId="2D0349BE" w14:textId="77777777" w:rsidR="00952870" w:rsidRPr="0088338F" w:rsidRDefault="00952870" w:rsidP="0012152A">
            <w:pPr>
              <w:rPr>
                <w:rFonts w:ascii="Arial" w:hAnsi="Arial" w:cs="Arial"/>
                <w:b/>
                <w:bCs/>
                <w:sz w:val="22"/>
                <w:szCs w:val="22"/>
                <w:lang w:eastAsia="en-US"/>
              </w:rPr>
            </w:pPr>
            <w:r w:rsidRPr="0088338F">
              <w:rPr>
                <w:rFonts w:ascii="Arial" w:hAnsi="Arial" w:cs="Arial"/>
                <w:b/>
                <w:bCs/>
                <w:sz w:val="22"/>
                <w:szCs w:val="22"/>
                <w:lang w:eastAsia="en-US"/>
              </w:rPr>
              <w:t>Súhrnný výsledok</w:t>
            </w:r>
          </w:p>
        </w:tc>
        <w:tc>
          <w:tcPr>
            <w:tcW w:w="739" w:type="dxa"/>
            <w:tcBorders>
              <w:top w:val="single" w:sz="4" w:space="0" w:color="FFFFFF"/>
              <w:left w:val="nil"/>
              <w:bottom w:val="single" w:sz="12" w:space="0" w:color="auto"/>
              <w:right w:val="single" w:sz="4" w:space="0" w:color="FFFFFF"/>
            </w:tcBorders>
            <w:shd w:val="clear" w:color="auto" w:fill="auto"/>
            <w:noWrap/>
            <w:vAlign w:val="bottom"/>
          </w:tcPr>
          <w:p w14:paraId="7230D35D" w14:textId="77777777" w:rsidR="00952870" w:rsidRPr="0088338F" w:rsidRDefault="00952870" w:rsidP="0012152A">
            <w:pPr>
              <w:jc w:val="right"/>
              <w:rPr>
                <w:rFonts w:ascii="Arial" w:hAnsi="Arial" w:cs="Arial"/>
                <w:sz w:val="20"/>
                <w:szCs w:val="20"/>
                <w:lang w:eastAsia="en-US"/>
              </w:rPr>
            </w:pPr>
          </w:p>
        </w:tc>
        <w:tc>
          <w:tcPr>
            <w:tcW w:w="1518" w:type="dxa"/>
            <w:tcBorders>
              <w:top w:val="single" w:sz="4" w:space="0" w:color="FFFFFF"/>
              <w:left w:val="nil"/>
              <w:bottom w:val="single" w:sz="12" w:space="0" w:color="auto"/>
              <w:right w:val="single" w:sz="4" w:space="0" w:color="FFFFFF"/>
            </w:tcBorders>
            <w:shd w:val="clear" w:color="auto" w:fill="auto"/>
            <w:noWrap/>
            <w:vAlign w:val="bottom"/>
          </w:tcPr>
          <w:p w14:paraId="562992B7" w14:textId="5D2EDB85" w:rsidR="00952870" w:rsidRPr="0088338F" w:rsidRDefault="000252F9" w:rsidP="00A45FE4">
            <w:pPr>
              <w:jc w:val="right"/>
              <w:rPr>
                <w:rFonts w:ascii="Arial" w:hAnsi="Arial" w:cs="Arial"/>
                <w:b/>
                <w:bCs/>
                <w:sz w:val="22"/>
                <w:szCs w:val="22"/>
                <w:lang w:eastAsia="en-US"/>
              </w:rPr>
            </w:pPr>
            <w:r w:rsidRPr="0088338F">
              <w:rPr>
                <w:rFonts w:ascii="Arial" w:hAnsi="Arial" w:cs="Arial"/>
                <w:b/>
                <w:bCs/>
                <w:sz w:val="22"/>
                <w:szCs w:val="22"/>
                <w:lang w:eastAsia="en-US"/>
              </w:rPr>
              <w:t>9 486</w:t>
            </w:r>
          </w:p>
        </w:tc>
        <w:tc>
          <w:tcPr>
            <w:tcW w:w="1478" w:type="dxa"/>
            <w:tcBorders>
              <w:top w:val="single" w:sz="4" w:space="0" w:color="FFFFFF"/>
              <w:left w:val="nil"/>
              <w:bottom w:val="single" w:sz="12" w:space="0" w:color="auto"/>
              <w:right w:val="single" w:sz="4" w:space="0" w:color="FFFFFF"/>
            </w:tcBorders>
            <w:shd w:val="clear" w:color="auto" w:fill="auto"/>
            <w:noWrap/>
            <w:vAlign w:val="bottom"/>
          </w:tcPr>
          <w:p w14:paraId="13EE611B" w14:textId="68D209B7" w:rsidR="00952870" w:rsidRPr="0088338F" w:rsidRDefault="00952870" w:rsidP="00A45FE4">
            <w:pPr>
              <w:jc w:val="right"/>
              <w:rPr>
                <w:rFonts w:ascii="Arial" w:hAnsi="Arial" w:cs="Arial"/>
                <w:b/>
                <w:bCs/>
                <w:sz w:val="22"/>
                <w:szCs w:val="22"/>
                <w:lang w:eastAsia="en-US"/>
              </w:rPr>
            </w:pPr>
            <w:r w:rsidRPr="0088338F">
              <w:rPr>
                <w:rFonts w:ascii="Arial" w:hAnsi="Arial" w:cs="Arial"/>
                <w:b/>
                <w:bCs/>
                <w:sz w:val="22"/>
                <w:szCs w:val="22"/>
                <w:lang w:eastAsia="en-US"/>
              </w:rPr>
              <w:t>4 502</w:t>
            </w:r>
          </w:p>
        </w:tc>
      </w:tr>
    </w:tbl>
    <w:p w14:paraId="7208CEC3" w14:textId="77777777" w:rsidR="00A06C17" w:rsidRPr="0088338F" w:rsidRDefault="00A06C17" w:rsidP="00CD4D1E">
      <w:pPr>
        <w:jc w:val="both"/>
        <w:rPr>
          <w:rFonts w:ascii="Arial" w:hAnsi="Arial" w:cs="Arial"/>
          <w:sz w:val="20"/>
          <w:szCs w:val="20"/>
        </w:rPr>
      </w:pPr>
    </w:p>
    <w:p w14:paraId="56F10A9F" w14:textId="471072AD" w:rsidR="00A06C17" w:rsidRPr="0088338F" w:rsidRDefault="00A06C17" w:rsidP="00A06C17">
      <w:pPr>
        <w:jc w:val="both"/>
        <w:rPr>
          <w:rFonts w:ascii="Arial" w:hAnsi="Arial" w:cs="Arial"/>
          <w:sz w:val="20"/>
          <w:szCs w:val="20"/>
        </w:rPr>
      </w:pPr>
      <w:r w:rsidRPr="0088338F">
        <w:rPr>
          <w:rFonts w:ascii="Arial" w:hAnsi="Arial" w:cs="Arial"/>
          <w:sz w:val="20"/>
          <w:szCs w:val="20"/>
        </w:rPr>
        <w:t xml:space="preserve">Poznámky na stranách </w:t>
      </w:r>
      <w:r w:rsidR="00327938" w:rsidRPr="0088338F">
        <w:rPr>
          <w:rFonts w:ascii="Arial" w:hAnsi="Arial" w:cs="Arial"/>
          <w:sz w:val="20"/>
          <w:szCs w:val="20"/>
        </w:rPr>
        <w:t xml:space="preserve">12 až </w:t>
      </w:r>
      <w:r w:rsidR="00327938" w:rsidRPr="0088338F">
        <w:rPr>
          <w:rStyle w:val="PageNumber"/>
          <w:rFonts w:ascii="Arial" w:hAnsi="Arial" w:cs="Arial"/>
          <w:sz w:val="20"/>
          <w:szCs w:val="20"/>
        </w:rPr>
        <w:t xml:space="preserve">76 </w:t>
      </w:r>
      <w:r w:rsidRPr="0088338F">
        <w:rPr>
          <w:rStyle w:val="PageNumber"/>
          <w:rFonts w:ascii="Arial" w:hAnsi="Arial" w:cs="Arial"/>
          <w:sz w:val="20"/>
          <w:szCs w:val="20"/>
        </w:rPr>
        <w:t>sú súčasťou tejto účtovnej závierky.</w:t>
      </w:r>
    </w:p>
    <w:p w14:paraId="7831524C" w14:textId="77777777" w:rsidR="00A06C17" w:rsidRPr="0088338F" w:rsidRDefault="00A06C17" w:rsidP="00CD4D1E">
      <w:pPr>
        <w:jc w:val="both"/>
        <w:rPr>
          <w:rFonts w:ascii="Arial" w:hAnsi="Arial" w:cs="Arial"/>
          <w:sz w:val="20"/>
          <w:szCs w:val="20"/>
        </w:rPr>
      </w:pPr>
    </w:p>
    <w:p w14:paraId="172F13F7" w14:textId="77777777" w:rsidR="00A06C17" w:rsidRPr="0088338F" w:rsidRDefault="00A06C17" w:rsidP="00CD4D1E">
      <w:pPr>
        <w:jc w:val="both"/>
        <w:rPr>
          <w:rFonts w:ascii="Arial" w:hAnsi="Arial" w:cs="Arial"/>
          <w:sz w:val="20"/>
          <w:szCs w:val="20"/>
        </w:rPr>
        <w:sectPr w:rsidR="00A06C17" w:rsidRPr="0088338F">
          <w:headerReference w:type="default" r:id="rId20"/>
          <w:pgSz w:w="11906" w:h="16838"/>
          <w:pgMar w:top="1417" w:right="1417" w:bottom="1417" w:left="1417" w:header="708" w:footer="708" w:gutter="0"/>
          <w:cols w:space="708"/>
          <w:docGrid w:linePitch="360"/>
        </w:sectPr>
      </w:pPr>
    </w:p>
    <w:p w14:paraId="041DA301" w14:textId="77777777" w:rsidR="00714F90" w:rsidRPr="0088338F" w:rsidRDefault="00714F90" w:rsidP="00714F90">
      <w:pPr>
        <w:jc w:val="both"/>
        <w:rPr>
          <w:rFonts w:ascii="Arial" w:hAnsi="Arial" w:cs="Arial"/>
          <w:sz w:val="18"/>
          <w:szCs w:val="18"/>
        </w:rPr>
      </w:pPr>
    </w:p>
    <w:tbl>
      <w:tblPr>
        <w:tblW w:w="9493" w:type="dxa"/>
        <w:tblLayout w:type="fixed"/>
        <w:tblLook w:val="04A0" w:firstRow="1" w:lastRow="0" w:firstColumn="1" w:lastColumn="0" w:noHBand="0" w:noVBand="1"/>
      </w:tblPr>
      <w:tblGrid>
        <w:gridCol w:w="2093"/>
        <w:gridCol w:w="1010"/>
        <w:gridCol w:w="1287"/>
        <w:gridCol w:w="1134"/>
        <w:gridCol w:w="1534"/>
        <w:gridCol w:w="1442"/>
        <w:gridCol w:w="993"/>
      </w:tblGrid>
      <w:tr w:rsidR="008907F4" w:rsidRPr="0088338F" w14:paraId="0A137E4D" w14:textId="77777777" w:rsidTr="00952870">
        <w:trPr>
          <w:trHeight w:val="1020"/>
        </w:trPr>
        <w:tc>
          <w:tcPr>
            <w:tcW w:w="2093" w:type="dxa"/>
            <w:tcBorders>
              <w:top w:val="single" w:sz="12" w:space="0" w:color="auto"/>
              <w:left w:val="single" w:sz="4" w:space="0" w:color="FFFFFF"/>
              <w:bottom w:val="single" w:sz="4" w:space="0" w:color="FFFFFF"/>
              <w:right w:val="single" w:sz="4" w:space="0" w:color="FFFFFF"/>
            </w:tcBorders>
            <w:shd w:val="clear" w:color="auto" w:fill="auto"/>
            <w:noWrap/>
            <w:vAlign w:val="center"/>
          </w:tcPr>
          <w:p w14:paraId="000320A7" w14:textId="77777777" w:rsidR="008907F4" w:rsidRPr="0088338F" w:rsidRDefault="008907F4" w:rsidP="00A45FE4">
            <w:pPr>
              <w:jc w:val="center"/>
              <w:rPr>
                <w:rFonts w:ascii="Arial" w:hAnsi="Arial" w:cs="Arial"/>
                <w:b/>
                <w:bCs/>
                <w:sz w:val="18"/>
                <w:szCs w:val="18"/>
                <w:lang w:eastAsia="en-US"/>
              </w:rPr>
            </w:pPr>
            <w:bookmarkStart w:id="2" w:name="RANGE!A2:F25"/>
            <w:r w:rsidRPr="0088338F">
              <w:rPr>
                <w:rFonts w:ascii="Arial" w:hAnsi="Arial" w:cs="Arial"/>
                <w:b/>
                <w:bCs/>
                <w:sz w:val="18"/>
                <w:szCs w:val="18"/>
                <w:lang w:eastAsia="en-US"/>
              </w:rPr>
              <w:t> </w:t>
            </w:r>
            <w:bookmarkEnd w:id="2"/>
          </w:p>
        </w:tc>
        <w:tc>
          <w:tcPr>
            <w:tcW w:w="1010" w:type="dxa"/>
            <w:tcBorders>
              <w:top w:val="single" w:sz="12" w:space="0" w:color="auto"/>
              <w:left w:val="nil"/>
              <w:bottom w:val="single" w:sz="4" w:space="0" w:color="FFFFFF"/>
              <w:right w:val="single" w:sz="4" w:space="0" w:color="FFFFFF"/>
            </w:tcBorders>
            <w:shd w:val="clear" w:color="auto" w:fill="auto"/>
            <w:vAlign w:val="center"/>
          </w:tcPr>
          <w:p w14:paraId="13085E7E" w14:textId="77777777" w:rsidR="008907F4" w:rsidRPr="0088338F" w:rsidRDefault="008907F4" w:rsidP="00A45FE4">
            <w:pPr>
              <w:jc w:val="right"/>
              <w:rPr>
                <w:rFonts w:ascii="Arial" w:hAnsi="Arial" w:cs="Arial"/>
                <w:b/>
                <w:bCs/>
                <w:sz w:val="18"/>
                <w:szCs w:val="18"/>
                <w:lang w:eastAsia="en-US"/>
              </w:rPr>
            </w:pPr>
            <w:r w:rsidRPr="0088338F">
              <w:rPr>
                <w:rFonts w:ascii="Arial" w:hAnsi="Arial" w:cs="Arial"/>
                <w:b/>
                <w:bCs/>
                <w:sz w:val="18"/>
                <w:szCs w:val="18"/>
                <w:lang w:eastAsia="en-US"/>
              </w:rPr>
              <w:t>Základné</w:t>
            </w:r>
            <w:r w:rsidRPr="0088338F">
              <w:rPr>
                <w:rFonts w:ascii="Arial" w:hAnsi="Arial" w:cs="Arial"/>
                <w:b/>
                <w:bCs/>
                <w:sz w:val="18"/>
                <w:szCs w:val="18"/>
                <w:lang w:eastAsia="en-US"/>
              </w:rPr>
              <w:br/>
              <w:t>imanie</w:t>
            </w:r>
          </w:p>
        </w:tc>
        <w:tc>
          <w:tcPr>
            <w:tcW w:w="1287" w:type="dxa"/>
            <w:tcBorders>
              <w:top w:val="single" w:sz="12" w:space="0" w:color="auto"/>
              <w:left w:val="nil"/>
              <w:bottom w:val="single" w:sz="4" w:space="0" w:color="FFFFFF"/>
              <w:right w:val="single" w:sz="4" w:space="0" w:color="FFFFFF"/>
            </w:tcBorders>
            <w:shd w:val="clear" w:color="auto" w:fill="auto"/>
            <w:vAlign w:val="center"/>
          </w:tcPr>
          <w:p w14:paraId="431DC79D" w14:textId="77777777" w:rsidR="008907F4" w:rsidRPr="0088338F" w:rsidRDefault="008907F4" w:rsidP="00A45FE4">
            <w:pPr>
              <w:jc w:val="right"/>
              <w:rPr>
                <w:rFonts w:ascii="Arial" w:hAnsi="Arial" w:cs="Arial"/>
                <w:b/>
                <w:bCs/>
                <w:sz w:val="18"/>
                <w:szCs w:val="18"/>
                <w:lang w:eastAsia="en-US"/>
              </w:rPr>
            </w:pPr>
            <w:r w:rsidRPr="0088338F">
              <w:rPr>
                <w:rFonts w:ascii="Arial" w:hAnsi="Arial" w:cs="Arial"/>
                <w:b/>
                <w:bCs/>
                <w:sz w:val="18"/>
                <w:szCs w:val="18"/>
                <w:lang w:eastAsia="en-US"/>
              </w:rPr>
              <w:t>Nerozdelený zisk</w:t>
            </w:r>
          </w:p>
        </w:tc>
        <w:tc>
          <w:tcPr>
            <w:tcW w:w="1134" w:type="dxa"/>
            <w:tcBorders>
              <w:top w:val="single" w:sz="12" w:space="0" w:color="auto"/>
              <w:left w:val="nil"/>
              <w:bottom w:val="single" w:sz="4" w:space="0" w:color="FFFFFF"/>
              <w:right w:val="single" w:sz="4" w:space="0" w:color="FFFFFF"/>
            </w:tcBorders>
            <w:shd w:val="clear" w:color="auto" w:fill="auto"/>
            <w:vAlign w:val="center"/>
          </w:tcPr>
          <w:p w14:paraId="687FB068" w14:textId="77777777" w:rsidR="008907F4" w:rsidRPr="0088338F" w:rsidRDefault="008907F4" w:rsidP="00A45FE4">
            <w:pPr>
              <w:jc w:val="right"/>
              <w:rPr>
                <w:rFonts w:ascii="Arial" w:hAnsi="Arial" w:cs="Arial"/>
                <w:b/>
                <w:bCs/>
                <w:sz w:val="18"/>
                <w:szCs w:val="18"/>
                <w:lang w:eastAsia="en-US"/>
              </w:rPr>
            </w:pPr>
            <w:r w:rsidRPr="0088338F">
              <w:rPr>
                <w:rFonts w:ascii="Arial" w:hAnsi="Arial" w:cs="Arial"/>
                <w:b/>
                <w:bCs/>
                <w:sz w:val="18"/>
                <w:szCs w:val="18"/>
                <w:lang w:eastAsia="en-US"/>
              </w:rPr>
              <w:t>Kapitálové fondy a fondy zo zisku</w:t>
            </w:r>
          </w:p>
        </w:tc>
        <w:tc>
          <w:tcPr>
            <w:tcW w:w="1534" w:type="dxa"/>
            <w:tcBorders>
              <w:top w:val="single" w:sz="12" w:space="0" w:color="auto"/>
              <w:left w:val="nil"/>
              <w:bottom w:val="single" w:sz="4" w:space="0" w:color="FFFFFF"/>
              <w:right w:val="single" w:sz="4" w:space="0" w:color="FFFFFF"/>
            </w:tcBorders>
            <w:shd w:val="clear" w:color="auto" w:fill="auto"/>
            <w:vAlign w:val="center"/>
          </w:tcPr>
          <w:p w14:paraId="059F6A30" w14:textId="77777777" w:rsidR="008907F4" w:rsidRPr="0088338F" w:rsidRDefault="008907F4" w:rsidP="00A45FE4">
            <w:pPr>
              <w:jc w:val="right"/>
              <w:rPr>
                <w:rFonts w:ascii="Arial" w:hAnsi="Arial" w:cs="Arial"/>
                <w:b/>
                <w:bCs/>
                <w:sz w:val="18"/>
                <w:szCs w:val="18"/>
                <w:lang w:eastAsia="en-US"/>
              </w:rPr>
            </w:pPr>
            <w:r w:rsidRPr="0088338F">
              <w:rPr>
                <w:rFonts w:ascii="Arial" w:hAnsi="Arial" w:cs="Arial"/>
                <w:b/>
                <w:bCs/>
                <w:sz w:val="18"/>
                <w:szCs w:val="18"/>
                <w:lang w:eastAsia="en-US"/>
              </w:rPr>
              <w:t>Oceňovacie rozdiely z cenných papierov k dispozícii na predaj vrátane odloženej dane</w:t>
            </w:r>
          </w:p>
        </w:tc>
        <w:tc>
          <w:tcPr>
            <w:tcW w:w="1442" w:type="dxa"/>
            <w:tcBorders>
              <w:top w:val="single" w:sz="12" w:space="0" w:color="auto"/>
              <w:left w:val="nil"/>
              <w:bottom w:val="single" w:sz="4" w:space="0" w:color="FFFFFF"/>
              <w:right w:val="nil"/>
            </w:tcBorders>
          </w:tcPr>
          <w:p w14:paraId="4FB97633" w14:textId="55EF476A" w:rsidR="008907F4" w:rsidRPr="0088338F" w:rsidRDefault="008907F4" w:rsidP="00A45FE4">
            <w:pPr>
              <w:jc w:val="right"/>
              <w:rPr>
                <w:rFonts w:ascii="Arial" w:hAnsi="Arial" w:cs="Arial"/>
                <w:b/>
                <w:bCs/>
                <w:sz w:val="18"/>
                <w:szCs w:val="18"/>
                <w:lang w:eastAsia="en-US"/>
              </w:rPr>
            </w:pPr>
            <w:r w:rsidRPr="0088338F">
              <w:rPr>
                <w:rFonts w:ascii="Arial" w:hAnsi="Arial" w:cs="Arial"/>
                <w:b/>
                <w:bCs/>
                <w:sz w:val="18"/>
                <w:szCs w:val="18"/>
                <w:lang w:eastAsia="en-US"/>
              </w:rPr>
              <w:t>Oceňovacie rozdiely z prepočtu zabezpe</w:t>
            </w:r>
            <w:r w:rsidR="00A45FE4" w:rsidRPr="0088338F">
              <w:rPr>
                <w:rFonts w:ascii="Arial" w:hAnsi="Arial" w:cs="Arial"/>
                <w:b/>
                <w:bCs/>
                <w:sz w:val="18"/>
                <w:szCs w:val="18"/>
                <w:lang w:eastAsia="en-US"/>
              </w:rPr>
              <w:t>-</w:t>
            </w:r>
            <w:r w:rsidRPr="0088338F">
              <w:rPr>
                <w:rFonts w:ascii="Arial" w:hAnsi="Arial" w:cs="Arial"/>
                <w:b/>
                <w:bCs/>
                <w:sz w:val="18"/>
                <w:szCs w:val="18"/>
                <w:lang w:eastAsia="en-US"/>
              </w:rPr>
              <w:t>čovacích derivátov, vrátane odloženej dane</w:t>
            </w:r>
          </w:p>
        </w:tc>
        <w:tc>
          <w:tcPr>
            <w:tcW w:w="993" w:type="dxa"/>
            <w:tcBorders>
              <w:top w:val="single" w:sz="12" w:space="0" w:color="auto"/>
              <w:left w:val="nil"/>
              <w:bottom w:val="single" w:sz="4" w:space="0" w:color="FFFFFF"/>
              <w:right w:val="single" w:sz="4" w:space="0" w:color="FFFFFF"/>
            </w:tcBorders>
            <w:shd w:val="clear" w:color="auto" w:fill="auto"/>
            <w:noWrap/>
            <w:vAlign w:val="center"/>
          </w:tcPr>
          <w:p w14:paraId="18F8564D" w14:textId="77777777" w:rsidR="008907F4" w:rsidRPr="0088338F" w:rsidRDefault="008907F4" w:rsidP="00A45FE4">
            <w:pPr>
              <w:jc w:val="right"/>
              <w:rPr>
                <w:rFonts w:ascii="Arial" w:hAnsi="Arial" w:cs="Arial"/>
                <w:b/>
                <w:bCs/>
                <w:sz w:val="18"/>
                <w:szCs w:val="18"/>
                <w:lang w:eastAsia="en-US"/>
              </w:rPr>
            </w:pPr>
            <w:r w:rsidRPr="0088338F">
              <w:rPr>
                <w:rFonts w:ascii="Arial" w:hAnsi="Arial" w:cs="Arial"/>
                <w:b/>
                <w:bCs/>
                <w:sz w:val="18"/>
                <w:szCs w:val="18"/>
                <w:lang w:eastAsia="en-US"/>
              </w:rPr>
              <w:t>Spolu</w:t>
            </w:r>
          </w:p>
        </w:tc>
      </w:tr>
      <w:tr w:rsidR="00BE51EE" w:rsidRPr="0088338F" w14:paraId="2A398C11" w14:textId="77777777" w:rsidTr="00952870">
        <w:trPr>
          <w:trHeight w:val="255"/>
        </w:trPr>
        <w:tc>
          <w:tcPr>
            <w:tcW w:w="2093" w:type="dxa"/>
            <w:tcBorders>
              <w:top w:val="single" w:sz="4" w:space="0" w:color="FFFFFF"/>
              <w:left w:val="single" w:sz="4" w:space="0" w:color="FFFFFF"/>
              <w:bottom w:val="single" w:sz="4" w:space="0" w:color="auto"/>
              <w:right w:val="single" w:sz="4" w:space="0" w:color="FFFFFF"/>
            </w:tcBorders>
            <w:shd w:val="clear" w:color="auto" w:fill="auto"/>
            <w:noWrap/>
            <w:vAlign w:val="bottom"/>
          </w:tcPr>
          <w:p w14:paraId="28E0F789" w14:textId="77777777" w:rsidR="00BE51EE" w:rsidRPr="0088338F" w:rsidRDefault="00BE51EE" w:rsidP="00A45FE4">
            <w:pPr>
              <w:rPr>
                <w:rFonts w:ascii="Arial" w:hAnsi="Arial" w:cs="Arial"/>
                <w:b/>
                <w:bCs/>
                <w:sz w:val="18"/>
                <w:szCs w:val="18"/>
                <w:lang w:eastAsia="en-US"/>
              </w:rPr>
            </w:pPr>
            <w:r w:rsidRPr="0088338F">
              <w:rPr>
                <w:rFonts w:ascii="Arial" w:hAnsi="Arial" w:cs="Arial"/>
                <w:b/>
                <w:bCs/>
                <w:sz w:val="18"/>
                <w:szCs w:val="18"/>
                <w:lang w:eastAsia="en-US"/>
              </w:rPr>
              <w:t> </w:t>
            </w:r>
          </w:p>
        </w:tc>
        <w:tc>
          <w:tcPr>
            <w:tcW w:w="1010" w:type="dxa"/>
            <w:tcBorders>
              <w:top w:val="single" w:sz="4" w:space="0" w:color="FFFFFF"/>
              <w:left w:val="nil"/>
              <w:bottom w:val="single" w:sz="4" w:space="0" w:color="auto"/>
              <w:right w:val="single" w:sz="4" w:space="0" w:color="FFFFFF"/>
            </w:tcBorders>
            <w:shd w:val="clear" w:color="auto" w:fill="auto"/>
            <w:noWrap/>
            <w:vAlign w:val="bottom"/>
          </w:tcPr>
          <w:p w14:paraId="59851903"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tis. EUR</w:t>
            </w:r>
          </w:p>
        </w:tc>
        <w:tc>
          <w:tcPr>
            <w:tcW w:w="1287" w:type="dxa"/>
            <w:tcBorders>
              <w:top w:val="single" w:sz="4" w:space="0" w:color="FFFFFF"/>
              <w:left w:val="nil"/>
              <w:bottom w:val="single" w:sz="4" w:space="0" w:color="auto"/>
              <w:right w:val="single" w:sz="4" w:space="0" w:color="FFFFFF"/>
            </w:tcBorders>
            <w:shd w:val="clear" w:color="auto" w:fill="auto"/>
            <w:noWrap/>
            <w:vAlign w:val="bottom"/>
          </w:tcPr>
          <w:p w14:paraId="621D648D"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tis. EUR</w:t>
            </w:r>
          </w:p>
        </w:tc>
        <w:tc>
          <w:tcPr>
            <w:tcW w:w="1134" w:type="dxa"/>
            <w:tcBorders>
              <w:top w:val="single" w:sz="4" w:space="0" w:color="FFFFFF"/>
              <w:left w:val="nil"/>
              <w:bottom w:val="single" w:sz="4" w:space="0" w:color="auto"/>
              <w:right w:val="single" w:sz="4" w:space="0" w:color="FFFFFF"/>
            </w:tcBorders>
            <w:shd w:val="clear" w:color="auto" w:fill="auto"/>
            <w:noWrap/>
            <w:vAlign w:val="bottom"/>
          </w:tcPr>
          <w:p w14:paraId="1CA7549C"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tis. EUR</w:t>
            </w:r>
          </w:p>
        </w:tc>
        <w:tc>
          <w:tcPr>
            <w:tcW w:w="1534" w:type="dxa"/>
            <w:tcBorders>
              <w:top w:val="single" w:sz="4" w:space="0" w:color="FFFFFF"/>
              <w:left w:val="nil"/>
              <w:bottom w:val="single" w:sz="4" w:space="0" w:color="auto"/>
              <w:right w:val="single" w:sz="4" w:space="0" w:color="FFFFFF"/>
            </w:tcBorders>
            <w:shd w:val="clear" w:color="auto" w:fill="auto"/>
            <w:noWrap/>
            <w:vAlign w:val="bottom"/>
          </w:tcPr>
          <w:p w14:paraId="5A65A0EA"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tis. EUR</w:t>
            </w:r>
          </w:p>
        </w:tc>
        <w:tc>
          <w:tcPr>
            <w:tcW w:w="1442" w:type="dxa"/>
            <w:tcBorders>
              <w:top w:val="single" w:sz="4" w:space="0" w:color="FFFFFF"/>
              <w:left w:val="nil"/>
              <w:bottom w:val="single" w:sz="4" w:space="0" w:color="auto"/>
              <w:right w:val="nil"/>
            </w:tcBorders>
            <w:vAlign w:val="bottom"/>
          </w:tcPr>
          <w:p w14:paraId="07DB0C59"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tis. EUR</w:t>
            </w:r>
          </w:p>
        </w:tc>
        <w:tc>
          <w:tcPr>
            <w:tcW w:w="993" w:type="dxa"/>
            <w:tcBorders>
              <w:top w:val="single" w:sz="4" w:space="0" w:color="FFFFFF"/>
              <w:left w:val="nil"/>
              <w:bottom w:val="single" w:sz="4" w:space="0" w:color="auto"/>
              <w:right w:val="single" w:sz="4" w:space="0" w:color="FFFFFF"/>
            </w:tcBorders>
            <w:shd w:val="clear" w:color="auto" w:fill="auto"/>
            <w:noWrap/>
            <w:vAlign w:val="bottom"/>
          </w:tcPr>
          <w:p w14:paraId="797575EA"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tis. EUR</w:t>
            </w:r>
          </w:p>
        </w:tc>
      </w:tr>
      <w:tr w:rsidR="00952870" w:rsidRPr="0088338F" w14:paraId="6BB159F5" w14:textId="77777777" w:rsidTr="00A80B77">
        <w:trPr>
          <w:trHeight w:val="255"/>
        </w:trPr>
        <w:tc>
          <w:tcPr>
            <w:tcW w:w="2093" w:type="dxa"/>
            <w:tcBorders>
              <w:top w:val="single" w:sz="4" w:space="0" w:color="auto"/>
              <w:left w:val="single" w:sz="4" w:space="0" w:color="FFFFFF"/>
              <w:bottom w:val="single" w:sz="4" w:space="0" w:color="FFFFFF"/>
              <w:right w:val="single" w:sz="4" w:space="0" w:color="FFFFFF"/>
            </w:tcBorders>
            <w:shd w:val="clear" w:color="auto" w:fill="auto"/>
            <w:noWrap/>
            <w:vAlign w:val="bottom"/>
          </w:tcPr>
          <w:p w14:paraId="7CBF3DF7" w14:textId="263E24F6" w:rsidR="00952870" w:rsidRPr="0088338F" w:rsidRDefault="00952870" w:rsidP="00A45FE4">
            <w:pPr>
              <w:rPr>
                <w:rFonts w:ascii="Arial" w:hAnsi="Arial" w:cs="Arial"/>
                <w:b/>
                <w:bCs/>
                <w:sz w:val="18"/>
                <w:szCs w:val="18"/>
                <w:lang w:eastAsia="en-US"/>
              </w:rPr>
            </w:pPr>
            <w:r w:rsidRPr="0088338F">
              <w:rPr>
                <w:rFonts w:ascii="Arial" w:hAnsi="Arial" w:cs="Arial"/>
                <w:b/>
                <w:bCs/>
                <w:sz w:val="18"/>
                <w:szCs w:val="18"/>
                <w:lang w:eastAsia="en-US"/>
              </w:rPr>
              <w:t>K 1. januáru 2016</w:t>
            </w:r>
          </w:p>
        </w:tc>
        <w:tc>
          <w:tcPr>
            <w:tcW w:w="1010" w:type="dxa"/>
            <w:tcBorders>
              <w:top w:val="single" w:sz="4" w:space="0" w:color="auto"/>
              <w:left w:val="nil"/>
              <w:bottom w:val="single" w:sz="4" w:space="0" w:color="FFFFFF"/>
              <w:right w:val="single" w:sz="4" w:space="0" w:color="FFFFFF"/>
            </w:tcBorders>
            <w:shd w:val="clear" w:color="auto" w:fill="auto"/>
            <w:noWrap/>
            <w:vAlign w:val="bottom"/>
          </w:tcPr>
          <w:p w14:paraId="4FB92C1C" w14:textId="0E41AA17"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25 121</w:t>
            </w:r>
          </w:p>
        </w:tc>
        <w:tc>
          <w:tcPr>
            <w:tcW w:w="1287" w:type="dxa"/>
            <w:tcBorders>
              <w:top w:val="single" w:sz="4" w:space="0" w:color="auto"/>
              <w:left w:val="nil"/>
              <w:bottom w:val="single" w:sz="4" w:space="0" w:color="FFFFFF"/>
              <w:right w:val="single" w:sz="4" w:space="0" w:color="FFFFFF"/>
            </w:tcBorders>
            <w:shd w:val="clear" w:color="auto" w:fill="auto"/>
            <w:noWrap/>
            <w:vAlign w:val="bottom"/>
          </w:tcPr>
          <w:p w14:paraId="0DDDFFEC" w14:textId="59C08F38"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27 077</w:t>
            </w:r>
          </w:p>
        </w:tc>
        <w:tc>
          <w:tcPr>
            <w:tcW w:w="1134" w:type="dxa"/>
            <w:tcBorders>
              <w:top w:val="single" w:sz="4" w:space="0" w:color="auto"/>
              <w:left w:val="nil"/>
              <w:bottom w:val="single" w:sz="4" w:space="0" w:color="FFFFFF"/>
              <w:right w:val="single" w:sz="4" w:space="0" w:color="FFFFFF"/>
            </w:tcBorders>
            <w:shd w:val="clear" w:color="auto" w:fill="auto"/>
            <w:noWrap/>
            <w:vAlign w:val="bottom"/>
          </w:tcPr>
          <w:p w14:paraId="18AFBABB" w14:textId="6DD951B0"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4 692</w:t>
            </w:r>
          </w:p>
        </w:tc>
        <w:tc>
          <w:tcPr>
            <w:tcW w:w="1534" w:type="dxa"/>
            <w:tcBorders>
              <w:top w:val="single" w:sz="4" w:space="0" w:color="auto"/>
              <w:left w:val="nil"/>
              <w:bottom w:val="single" w:sz="4" w:space="0" w:color="FFFFFF"/>
              <w:right w:val="single" w:sz="4" w:space="0" w:color="FFFFFF"/>
            </w:tcBorders>
            <w:shd w:val="clear" w:color="auto" w:fill="auto"/>
            <w:noWrap/>
            <w:vAlign w:val="bottom"/>
          </w:tcPr>
          <w:p w14:paraId="289B620A" w14:textId="70192F4E" w:rsidR="00952870" w:rsidRPr="0088338F" w:rsidRDefault="00952870" w:rsidP="00A45FE4">
            <w:pPr>
              <w:ind w:right="-57"/>
              <w:jc w:val="right"/>
              <w:rPr>
                <w:rFonts w:ascii="Arial" w:hAnsi="Arial" w:cs="Arial"/>
                <w:b/>
                <w:bCs/>
                <w:sz w:val="18"/>
                <w:szCs w:val="18"/>
                <w:lang w:eastAsia="en-US"/>
              </w:rPr>
            </w:pPr>
            <w:r w:rsidRPr="0088338F">
              <w:rPr>
                <w:rFonts w:ascii="Arial" w:hAnsi="Arial" w:cs="Arial"/>
                <w:b/>
                <w:bCs/>
                <w:sz w:val="18"/>
                <w:szCs w:val="18"/>
                <w:lang w:eastAsia="en-US"/>
              </w:rPr>
              <w:t>2 300</w:t>
            </w:r>
          </w:p>
        </w:tc>
        <w:tc>
          <w:tcPr>
            <w:tcW w:w="1442" w:type="dxa"/>
            <w:tcBorders>
              <w:top w:val="single" w:sz="4" w:space="0" w:color="auto"/>
              <w:left w:val="nil"/>
              <w:bottom w:val="single" w:sz="4" w:space="0" w:color="FFFFFF"/>
              <w:right w:val="nil"/>
            </w:tcBorders>
            <w:vAlign w:val="bottom"/>
          </w:tcPr>
          <w:p w14:paraId="6C0CE5C2" w14:textId="48340828" w:rsidR="00952870" w:rsidRPr="0088338F" w:rsidRDefault="00952870" w:rsidP="00A45FE4">
            <w:pPr>
              <w:ind w:right="-57"/>
              <w:jc w:val="right"/>
              <w:rPr>
                <w:rFonts w:ascii="Arial" w:hAnsi="Arial" w:cs="Arial"/>
                <w:b/>
                <w:bCs/>
                <w:sz w:val="18"/>
                <w:szCs w:val="18"/>
                <w:lang w:eastAsia="en-US"/>
              </w:rPr>
            </w:pPr>
            <w:r w:rsidRPr="0088338F">
              <w:rPr>
                <w:rFonts w:ascii="Arial" w:hAnsi="Arial" w:cs="Arial"/>
                <w:b/>
                <w:bCs/>
                <w:sz w:val="18"/>
                <w:szCs w:val="18"/>
                <w:lang w:eastAsia="en-US"/>
              </w:rPr>
              <w:t>(150)</w:t>
            </w:r>
          </w:p>
        </w:tc>
        <w:tc>
          <w:tcPr>
            <w:tcW w:w="993" w:type="dxa"/>
            <w:tcBorders>
              <w:top w:val="single" w:sz="4" w:space="0" w:color="auto"/>
              <w:left w:val="nil"/>
              <w:bottom w:val="single" w:sz="4" w:space="0" w:color="FFFFFF"/>
              <w:right w:val="single" w:sz="4" w:space="0" w:color="FFFFFF"/>
            </w:tcBorders>
            <w:shd w:val="clear" w:color="auto" w:fill="auto"/>
            <w:noWrap/>
            <w:vAlign w:val="bottom"/>
          </w:tcPr>
          <w:p w14:paraId="45D7324C" w14:textId="4DB2061C"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59 040</w:t>
            </w:r>
          </w:p>
        </w:tc>
      </w:tr>
      <w:tr w:rsidR="00D7014B" w:rsidRPr="0088338F" w14:paraId="10BBA852" w14:textId="77777777" w:rsidTr="00952870">
        <w:trPr>
          <w:trHeight w:val="255"/>
        </w:trPr>
        <w:tc>
          <w:tcPr>
            <w:tcW w:w="2093" w:type="dxa"/>
            <w:tcBorders>
              <w:top w:val="nil"/>
              <w:left w:val="single" w:sz="4" w:space="0" w:color="FFFFFF"/>
              <w:bottom w:val="single" w:sz="4" w:space="0" w:color="FFFFFF"/>
              <w:right w:val="single" w:sz="4" w:space="0" w:color="FFFFFF"/>
            </w:tcBorders>
            <w:shd w:val="clear" w:color="auto" w:fill="auto"/>
            <w:vAlign w:val="bottom"/>
          </w:tcPr>
          <w:p w14:paraId="0DD50FBB" w14:textId="77777777" w:rsidR="00D7014B" w:rsidRPr="0088338F" w:rsidRDefault="00D7014B" w:rsidP="00A45FE4">
            <w:pPr>
              <w:rPr>
                <w:rFonts w:ascii="Arial" w:hAnsi="Arial" w:cs="Arial"/>
                <w:sz w:val="18"/>
                <w:szCs w:val="18"/>
                <w:lang w:eastAsia="en-US"/>
              </w:rPr>
            </w:pPr>
            <w:r w:rsidRPr="0088338F">
              <w:rPr>
                <w:rFonts w:ascii="Arial" w:hAnsi="Arial" w:cs="Arial"/>
                <w:sz w:val="18"/>
                <w:szCs w:val="18"/>
                <w:lang w:eastAsia="en-US"/>
              </w:rPr>
              <w:t>Povinný prídel do rezervného fondu</w:t>
            </w:r>
          </w:p>
        </w:tc>
        <w:tc>
          <w:tcPr>
            <w:tcW w:w="1010" w:type="dxa"/>
            <w:tcBorders>
              <w:top w:val="nil"/>
              <w:left w:val="nil"/>
              <w:bottom w:val="single" w:sz="4" w:space="0" w:color="FFFFFF"/>
              <w:right w:val="single" w:sz="4" w:space="0" w:color="FFFFFF"/>
            </w:tcBorders>
            <w:shd w:val="clear" w:color="auto" w:fill="auto"/>
            <w:noWrap/>
            <w:vAlign w:val="bottom"/>
          </w:tcPr>
          <w:p w14:paraId="41C938FF" w14:textId="77777777" w:rsidR="00D7014B" w:rsidRPr="0088338F" w:rsidRDefault="00D7014B" w:rsidP="00A45FE4">
            <w:pPr>
              <w:jc w:val="right"/>
              <w:rPr>
                <w:rFonts w:ascii="Arial" w:hAnsi="Arial" w:cs="Arial"/>
                <w:sz w:val="18"/>
                <w:szCs w:val="18"/>
                <w:lang w:eastAsia="en-US"/>
              </w:rPr>
            </w:pPr>
            <w:r w:rsidRPr="0088338F">
              <w:rPr>
                <w:rFonts w:ascii="Arial" w:hAnsi="Arial" w:cs="Arial"/>
                <w:sz w:val="18"/>
                <w:szCs w:val="18"/>
                <w:lang w:eastAsia="en-US"/>
              </w:rPr>
              <w:t>-</w:t>
            </w:r>
          </w:p>
        </w:tc>
        <w:tc>
          <w:tcPr>
            <w:tcW w:w="1287" w:type="dxa"/>
            <w:tcBorders>
              <w:top w:val="nil"/>
              <w:left w:val="nil"/>
              <w:bottom w:val="single" w:sz="4" w:space="0" w:color="FFFFFF"/>
              <w:right w:val="single" w:sz="4" w:space="0" w:color="FFFFFF"/>
            </w:tcBorders>
            <w:shd w:val="clear" w:color="auto" w:fill="auto"/>
            <w:noWrap/>
            <w:vAlign w:val="bottom"/>
          </w:tcPr>
          <w:p w14:paraId="5F9C7417" w14:textId="29654176" w:rsidR="00D7014B" w:rsidRPr="0088338F" w:rsidRDefault="00D7014B" w:rsidP="00952870">
            <w:pPr>
              <w:ind w:right="-57"/>
              <w:jc w:val="right"/>
              <w:rPr>
                <w:rFonts w:ascii="Arial" w:hAnsi="Arial" w:cs="Arial"/>
                <w:sz w:val="18"/>
                <w:szCs w:val="18"/>
                <w:lang w:eastAsia="en-US"/>
              </w:rPr>
            </w:pPr>
            <w:r w:rsidRPr="0088338F">
              <w:rPr>
                <w:rFonts w:ascii="Arial" w:hAnsi="Arial" w:cs="Arial"/>
                <w:sz w:val="18"/>
                <w:szCs w:val="18"/>
                <w:lang w:eastAsia="en-US"/>
              </w:rPr>
              <w:t>(</w:t>
            </w:r>
            <w:r w:rsidR="00952870" w:rsidRPr="0088338F">
              <w:rPr>
                <w:rFonts w:ascii="Arial" w:hAnsi="Arial" w:cs="Arial"/>
                <w:sz w:val="18"/>
                <w:szCs w:val="18"/>
                <w:lang w:eastAsia="en-US"/>
              </w:rPr>
              <w:t>332</w:t>
            </w:r>
            <w:r w:rsidRPr="0088338F">
              <w:rPr>
                <w:rFonts w:ascii="Arial" w:hAnsi="Arial" w:cs="Arial"/>
                <w:sz w:val="18"/>
                <w:szCs w:val="18"/>
                <w:lang w:eastAsia="en-US"/>
              </w:rPr>
              <w:t>)</w:t>
            </w:r>
          </w:p>
        </w:tc>
        <w:tc>
          <w:tcPr>
            <w:tcW w:w="1134" w:type="dxa"/>
            <w:tcBorders>
              <w:top w:val="nil"/>
              <w:left w:val="nil"/>
              <w:bottom w:val="single" w:sz="4" w:space="0" w:color="FFFFFF"/>
              <w:right w:val="single" w:sz="4" w:space="0" w:color="FFFFFF"/>
            </w:tcBorders>
            <w:shd w:val="clear" w:color="auto" w:fill="auto"/>
            <w:noWrap/>
            <w:vAlign w:val="bottom"/>
          </w:tcPr>
          <w:p w14:paraId="101E6DF3" w14:textId="3E036164" w:rsidR="00D7014B" w:rsidRPr="0088338F" w:rsidRDefault="00952870" w:rsidP="00A45FE4">
            <w:pPr>
              <w:jc w:val="right"/>
              <w:rPr>
                <w:rFonts w:ascii="Arial" w:hAnsi="Arial" w:cs="Arial"/>
                <w:sz w:val="18"/>
                <w:szCs w:val="18"/>
                <w:lang w:eastAsia="en-US"/>
              </w:rPr>
            </w:pPr>
            <w:r w:rsidRPr="0088338F">
              <w:rPr>
                <w:rFonts w:ascii="Arial" w:hAnsi="Arial" w:cs="Arial"/>
                <w:sz w:val="18"/>
                <w:szCs w:val="18"/>
                <w:lang w:eastAsia="en-US"/>
              </w:rPr>
              <w:t>332</w:t>
            </w:r>
          </w:p>
        </w:tc>
        <w:tc>
          <w:tcPr>
            <w:tcW w:w="1534" w:type="dxa"/>
            <w:tcBorders>
              <w:top w:val="nil"/>
              <w:left w:val="nil"/>
              <w:bottom w:val="single" w:sz="4" w:space="0" w:color="FFFFFF"/>
              <w:right w:val="single" w:sz="4" w:space="0" w:color="FFFFFF"/>
            </w:tcBorders>
            <w:shd w:val="clear" w:color="auto" w:fill="auto"/>
            <w:noWrap/>
            <w:vAlign w:val="bottom"/>
          </w:tcPr>
          <w:p w14:paraId="7A6CC3B6" w14:textId="77777777" w:rsidR="00D7014B" w:rsidRPr="0088338F" w:rsidRDefault="00D7014B" w:rsidP="00A45FE4">
            <w:pPr>
              <w:jc w:val="right"/>
              <w:rPr>
                <w:rFonts w:ascii="Arial" w:hAnsi="Arial" w:cs="Arial"/>
                <w:sz w:val="18"/>
                <w:szCs w:val="18"/>
                <w:lang w:eastAsia="en-US"/>
              </w:rPr>
            </w:pPr>
            <w:r w:rsidRPr="0088338F">
              <w:rPr>
                <w:rFonts w:ascii="Arial" w:hAnsi="Arial" w:cs="Arial"/>
                <w:sz w:val="18"/>
                <w:szCs w:val="18"/>
                <w:lang w:eastAsia="en-US"/>
              </w:rPr>
              <w:t>-</w:t>
            </w:r>
          </w:p>
        </w:tc>
        <w:tc>
          <w:tcPr>
            <w:tcW w:w="1442" w:type="dxa"/>
            <w:tcBorders>
              <w:top w:val="nil"/>
              <w:left w:val="nil"/>
              <w:bottom w:val="single" w:sz="4" w:space="0" w:color="FFFFFF"/>
              <w:right w:val="nil"/>
            </w:tcBorders>
            <w:vAlign w:val="bottom"/>
          </w:tcPr>
          <w:p w14:paraId="399D256A" w14:textId="77777777" w:rsidR="00D7014B" w:rsidRPr="0088338F" w:rsidRDefault="00D7014B" w:rsidP="00A45FE4">
            <w:pPr>
              <w:jc w:val="right"/>
              <w:rPr>
                <w:rFonts w:ascii="Arial" w:hAnsi="Arial" w:cs="Arial"/>
                <w:b/>
                <w:bCs/>
                <w:sz w:val="18"/>
                <w:szCs w:val="18"/>
                <w:lang w:eastAsia="en-US"/>
              </w:rPr>
            </w:pPr>
            <w:r w:rsidRPr="0088338F">
              <w:rPr>
                <w:rFonts w:ascii="Arial" w:hAnsi="Arial" w:cs="Arial"/>
                <w:b/>
                <w:bCs/>
                <w:sz w:val="18"/>
                <w:szCs w:val="18"/>
                <w:lang w:eastAsia="en-US"/>
              </w:rPr>
              <w:t>-</w:t>
            </w:r>
          </w:p>
        </w:tc>
        <w:tc>
          <w:tcPr>
            <w:tcW w:w="993" w:type="dxa"/>
            <w:tcBorders>
              <w:top w:val="nil"/>
              <w:left w:val="nil"/>
              <w:bottom w:val="single" w:sz="4" w:space="0" w:color="FFFFFF"/>
              <w:right w:val="single" w:sz="4" w:space="0" w:color="FFFFFF"/>
            </w:tcBorders>
            <w:shd w:val="clear" w:color="auto" w:fill="auto"/>
            <w:noWrap/>
            <w:vAlign w:val="bottom"/>
          </w:tcPr>
          <w:p w14:paraId="5CB11691" w14:textId="77777777" w:rsidR="00D7014B" w:rsidRPr="0088338F" w:rsidRDefault="00D7014B" w:rsidP="00A45FE4">
            <w:pPr>
              <w:jc w:val="right"/>
              <w:rPr>
                <w:rFonts w:ascii="Arial" w:hAnsi="Arial" w:cs="Arial"/>
                <w:b/>
                <w:bCs/>
                <w:sz w:val="18"/>
                <w:szCs w:val="18"/>
                <w:lang w:eastAsia="en-US"/>
              </w:rPr>
            </w:pPr>
            <w:r w:rsidRPr="0088338F">
              <w:rPr>
                <w:rFonts w:ascii="Arial" w:hAnsi="Arial" w:cs="Arial"/>
                <w:b/>
                <w:bCs/>
                <w:sz w:val="18"/>
                <w:szCs w:val="18"/>
                <w:lang w:eastAsia="en-US"/>
              </w:rPr>
              <w:t>-</w:t>
            </w:r>
          </w:p>
        </w:tc>
      </w:tr>
      <w:tr w:rsidR="00D7014B" w:rsidRPr="0088338F" w14:paraId="551E8C39" w14:textId="77777777" w:rsidTr="00952870">
        <w:trPr>
          <w:trHeight w:val="255"/>
        </w:trPr>
        <w:tc>
          <w:tcPr>
            <w:tcW w:w="2093" w:type="dxa"/>
            <w:tcBorders>
              <w:top w:val="nil"/>
              <w:left w:val="single" w:sz="4" w:space="0" w:color="FFFFFF"/>
              <w:bottom w:val="single" w:sz="4" w:space="0" w:color="FFFFFF"/>
              <w:right w:val="single" w:sz="4" w:space="0" w:color="FFFFFF"/>
            </w:tcBorders>
            <w:shd w:val="clear" w:color="auto" w:fill="auto"/>
            <w:vAlign w:val="bottom"/>
          </w:tcPr>
          <w:p w14:paraId="0A351DFF" w14:textId="606F3FF1" w:rsidR="00D7014B" w:rsidRPr="0088338F" w:rsidRDefault="00D7014B" w:rsidP="00952870">
            <w:pPr>
              <w:rPr>
                <w:rFonts w:ascii="Arial" w:hAnsi="Arial" w:cs="Arial"/>
                <w:sz w:val="18"/>
                <w:szCs w:val="18"/>
                <w:lang w:eastAsia="en-US"/>
              </w:rPr>
            </w:pPr>
            <w:r w:rsidRPr="0088338F">
              <w:rPr>
                <w:rFonts w:ascii="Arial" w:hAnsi="Arial" w:cs="Arial"/>
                <w:sz w:val="18"/>
                <w:szCs w:val="18"/>
                <w:lang w:eastAsia="en-US"/>
              </w:rPr>
              <w:t>Súhrnný výsledok 201</w:t>
            </w:r>
            <w:r w:rsidR="00952870" w:rsidRPr="0088338F">
              <w:rPr>
                <w:rFonts w:ascii="Arial" w:hAnsi="Arial" w:cs="Arial"/>
                <w:sz w:val="18"/>
                <w:szCs w:val="18"/>
                <w:lang w:eastAsia="en-US"/>
              </w:rPr>
              <w:t>6</w:t>
            </w:r>
          </w:p>
        </w:tc>
        <w:tc>
          <w:tcPr>
            <w:tcW w:w="1010" w:type="dxa"/>
            <w:tcBorders>
              <w:top w:val="nil"/>
              <w:left w:val="nil"/>
              <w:bottom w:val="single" w:sz="4" w:space="0" w:color="FFFFFF"/>
              <w:right w:val="single" w:sz="4" w:space="0" w:color="FFFFFF"/>
            </w:tcBorders>
            <w:shd w:val="clear" w:color="auto" w:fill="auto"/>
            <w:noWrap/>
            <w:vAlign w:val="bottom"/>
          </w:tcPr>
          <w:p w14:paraId="32CC68B3" w14:textId="77777777" w:rsidR="00D7014B" w:rsidRPr="0088338F" w:rsidRDefault="00D7014B" w:rsidP="00A45FE4">
            <w:pPr>
              <w:jc w:val="right"/>
              <w:rPr>
                <w:rFonts w:ascii="Arial" w:hAnsi="Arial" w:cs="Arial"/>
                <w:sz w:val="18"/>
                <w:szCs w:val="18"/>
                <w:lang w:eastAsia="en-US"/>
              </w:rPr>
            </w:pPr>
            <w:r w:rsidRPr="0088338F">
              <w:rPr>
                <w:rFonts w:ascii="Arial" w:hAnsi="Arial" w:cs="Arial"/>
                <w:sz w:val="18"/>
                <w:szCs w:val="18"/>
                <w:lang w:eastAsia="en-US"/>
              </w:rPr>
              <w:t>-</w:t>
            </w:r>
          </w:p>
        </w:tc>
        <w:tc>
          <w:tcPr>
            <w:tcW w:w="1287" w:type="dxa"/>
            <w:tcBorders>
              <w:top w:val="nil"/>
              <w:left w:val="nil"/>
              <w:bottom w:val="single" w:sz="4" w:space="0" w:color="FFFFFF"/>
              <w:right w:val="single" w:sz="4" w:space="0" w:color="FFFFFF"/>
            </w:tcBorders>
            <w:shd w:val="clear" w:color="auto" w:fill="auto"/>
            <w:noWrap/>
            <w:vAlign w:val="bottom"/>
          </w:tcPr>
          <w:p w14:paraId="66D9632E" w14:textId="04907C4C" w:rsidR="00D7014B" w:rsidRPr="0088338F" w:rsidRDefault="0085704D" w:rsidP="00A45FE4">
            <w:pPr>
              <w:jc w:val="right"/>
              <w:rPr>
                <w:rFonts w:ascii="Arial" w:hAnsi="Arial" w:cs="Arial"/>
                <w:sz w:val="18"/>
                <w:szCs w:val="18"/>
                <w:lang w:eastAsia="en-US"/>
              </w:rPr>
            </w:pPr>
            <w:r w:rsidRPr="0088338F">
              <w:rPr>
                <w:rFonts w:ascii="Arial" w:hAnsi="Arial" w:cs="Arial"/>
                <w:sz w:val="18"/>
                <w:szCs w:val="18"/>
                <w:lang w:eastAsia="en-US"/>
              </w:rPr>
              <w:t>9 111</w:t>
            </w:r>
          </w:p>
        </w:tc>
        <w:tc>
          <w:tcPr>
            <w:tcW w:w="1134" w:type="dxa"/>
            <w:tcBorders>
              <w:top w:val="nil"/>
              <w:left w:val="nil"/>
              <w:bottom w:val="single" w:sz="4" w:space="0" w:color="FFFFFF"/>
              <w:right w:val="single" w:sz="4" w:space="0" w:color="FFFFFF"/>
            </w:tcBorders>
            <w:shd w:val="clear" w:color="auto" w:fill="auto"/>
            <w:noWrap/>
            <w:vAlign w:val="bottom"/>
          </w:tcPr>
          <w:p w14:paraId="3CBED8D7" w14:textId="77777777" w:rsidR="00D7014B" w:rsidRPr="0088338F" w:rsidRDefault="00D7014B" w:rsidP="00A45FE4">
            <w:pPr>
              <w:jc w:val="right"/>
              <w:rPr>
                <w:rFonts w:ascii="Arial" w:hAnsi="Arial" w:cs="Arial"/>
                <w:sz w:val="18"/>
                <w:szCs w:val="18"/>
                <w:lang w:eastAsia="en-US"/>
              </w:rPr>
            </w:pPr>
            <w:r w:rsidRPr="0088338F">
              <w:rPr>
                <w:rFonts w:ascii="Arial" w:hAnsi="Arial" w:cs="Arial"/>
                <w:sz w:val="18"/>
                <w:szCs w:val="18"/>
                <w:lang w:eastAsia="en-US"/>
              </w:rPr>
              <w:t>-</w:t>
            </w:r>
          </w:p>
        </w:tc>
        <w:tc>
          <w:tcPr>
            <w:tcW w:w="1534" w:type="dxa"/>
            <w:tcBorders>
              <w:top w:val="nil"/>
              <w:left w:val="nil"/>
              <w:bottom w:val="single" w:sz="4" w:space="0" w:color="FFFFFF"/>
              <w:right w:val="single" w:sz="4" w:space="0" w:color="FFFFFF"/>
            </w:tcBorders>
            <w:shd w:val="clear" w:color="auto" w:fill="auto"/>
            <w:noWrap/>
            <w:vAlign w:val="bottom"/>
          </w:tcPr>
          <w:p w14:paraId="009196FC" w14:textId="490FED7F" w:rsidR="00D7014B" w:rsidRPr="0088338F" w:rsidRDefault="0085704D" w:rsidP="00A45FE4">
            <w:pPr>
              <w:ind w:right="-57"/>
              <w:jc w:val="right"/>
              <w:rPr>
                <w:rFonts w:ascii="Arial" w:hAnsi="Arial" w:cs="Arial"/>
                <w:sz w:val="18"/>
                <w:szCs w:val="18"/>
                <w:lang w:eastAsia="en-US"/>
              </w:rPr>
            </w:pPr>
            <w:r w:rsidRPr="0088338F">
              <w:rPr>
                <w:rFonts w:ascii="Arial" w:hAnsi="Arial" w:cs="Arial"/>
                <w:sz w:val="18"/>
                <w:szCs w:val="18"/>
                <w:lang w:eastAsia="en-US"/>
              </w:rPr>
              <w:t>318</w:t>
            </w:r>
          </w:p>
        </w:tc>
        <w:tc>
          <w:tcPr>
            <w:tcW w:w="1442" w:type="dxa"/>
            <w:tcBorders>
              <w:top w:val="nil"/>
              <w:left w:val="nil"/>
              <w:bottom w:val="single" w:sz="4" w:space="0" w:color="FFFFFF"/>
              <w:right w:val="nil"/>
            </w:tcBorders>
          </w:tcPr>
          <w:p w14:paraId="6C5A0415" w14:textId="216DF41A" w:rsidR="00D7014B" w:rsidRPr="0088338F" w:rsidRDefault="0085704D" w:rsidP="00A45FE4">
            <w:pPr>
              <w:jc w:val="right"/>
              <w:rPr>
                <w:rFonts w:ascii="Arial" w:hAnsi="Arial" w:cs="Arial"/>
                <w:bCs/>
                <w:sz w:val="18"/>
                <w:szCs w:val="18"/>
                <w:lang w:eastAsia="en-US"/>
              </w:rPr>
            </w:pPr>
            <w:r w:rsidRPr="0088338F">
              <w:rPr>
                <w:rFonts w:ascii="Arial" w:hAnsi="Arial" w:cs="Arial"/>
                <w:bCs/>
                <w:sz w:val="18"/>
                <w:szCs w:val="18"/>
                <w:lang w:eastAsia="en-US"/>
              </w:rPr>
              <w:t>57</w:t>
            </w:r>
          </w:p>
        </w:tc>
        <w:tc>
          <w:tcPr>
            <w:tcW w:w="993" w:type="dxa"/>
            <w:tcBorders>
              <w:top w:val="nil"/>
              <w:left w:val="nil"/>
              <w:bottom w:val="single" w:sz="4" w:space="0" w:color="FFFFFF"/>
              <w:right w:val="single" w:sz="4" w:space="0" w:color="FFFFFF"/>
            </w:tcBorders>
            <w:shd w:val="clear" w:color="auto" w:fill="auto"/>
            <w:noWrap/>
            <w:vAlign w:val="bottom"/>
          </w:tcPr>
          <w:p w14:paraId="545B7EDB" w14:textId="1E08716C" w:rsidR="00D7014B" w:rsidRPr="0088338F" w:rsidRDefault="0085704D" w:rsidP="0085704D">
            <w:pPr>
              <w:jc w:val="right"/>
              <w:rPr>
                <w:rFonts w:ascii="Arial" w:hAnsi="Arial" w:cs="Arial"/>
                <w:b/>
                <w:bCs/>
                <w:sz w:val="18"/>
                <w:szCs w:val="18"/>
                <w:lang w:eastAsia="en-US"/>
              </w:rPr>
            </w:pPr>
            <w:r w:rsidRPr="0088338F">
              <w:rPr>
                <w:rFonts w:ascii="Arial" w:hAnsi="Arial" w:cs="Arial"/>
                <w:b/>
                <w:bCs/>
                <w:sz w:val="18"/>
                <w:szCs w:val="18"/>
                <w:lang w:eastAsia="en-US"/>
              </w:rPr>
              <w:t>9</w:t>
            </w:r>
            <w:r w:rsidR="00D7014B" w:rsidRPr="0088338F">
              <w:rPr>
                <w:rFonts w:ascii="Arial" w:hAnsi="Arial" w:cs="Arial"/>
                <w:b/>
                <w:bCs/>
                <w:sz w:val="18"/>
                <w:szCs w:val="18"/>
                <w:lang w:eastAsia="en-US"/>
              </w:rPr>
              <w:t xml:space="preserve"> </w:t>
            </w:r>
            <w:r w:rsidRPr="0088338F">
              <w:rPr>
                <w:rFonts w:ascii="Arial" w:hAnsi="Arial" w:cs="Arial"/>
                <w:b/>
                <w:bCs/>
                <w:sz w:val="18"/>
                <w:szCs w:val="18"/>
                <w:lang w:eastAsia="en-US"/>
              </w:rPr>
              <w:t>486</w:t>
            </w:r>
          </w:p>
        </w:tc>
      </w:tr>
      <w:tr w:rsidR="00D7014B" w:rsidRPr="0088338F" w14:paraId="0B7F2FF0" w14:textId="77777777" w:rsidTr="00952870">
        <w:trPr>
          <w:trHeight w:val="255"/>
        </w:trPr>
        <w:tc>
          <w:tcPr>
            <w:tcW w:w="2093" w:type="dxa"/>
            <w:tcBorders>
              <w:top w:val="single" w:sz="4" w:space="0" w:color="FFFFFF"/>
              <w:left w:val="single" w:sz="4" w:space="0" w:color="FFFFFF"/>
              <w:bottom w:val="single" w:sz="12" w:space="0" w:color="auto"/>
              <w:right w:val="single" w:sz="4" w:space="0" w:color="FFFFFF"/>
            </w:tcBorders>
            <w:shd w:val="clear" w:color="auto" w:fill="auto"/>
            <w:vAlign w:val="bottom"/>
          </w:tcPr>
          <w:p w14:paraId="0FF6396E" w14:textId="1DF47744" w:rsidR="00D7014B" w:rsidRPr="0088338F" w:rsidRDefault="00D7014B" w:rsidP="00952870">
            <w:pPr>
              <w:rPr>
                <w:rFonts w:ascii="Arial" w:hAnsi="Arial" w:cs="Arial"/>
                <w:b/>
                <w:bCs/>
                <w:sz w:val="18"/>
                <w:szCs w:val="18"/>
                <w:lang w:eastAsia="en-US"/>
              </w:rPr>
            </w:pPr>
            <w:r w:rsidRPr="0088338F">
              <w:rPr>
                <w:rFonts w:ascii="Arial" w:hAnsi="Arial" w:cs="Arial"/>
                <w:b/>
                <w:bCs/>
                <w:sz w:val="18"/>
                <w:szCs w:val="18"/>
                <w:lang w:eastAsia="en-US"/>
              </w:rPr>
              <w:t>K 31. decembru 201</w:t>
            </w:r>
            <w:r w:rsidR="00952870" w:rsidRPr="0088338F">
              <w:rPr>
                <w:rFonts w:ascii="Arial" w:hAnsi="Arial" w:cs="Arial"/>
                <w:b/>
                <w:bCs/>
                <w:sz w:val="18"/>
                <w:szCs w:val="18"/>
                <w:lang w:eastAsia="en-US"/>
              </w:rPr>
              <w:t>6</w:t>
            </w:r>
          </w:p>
        </w:tc>
        <w:tc>
          <w:tcPr>
            <w:tcW w:w="1010" w:type="dxa"/>
            <w:tcBorders>
              <w:top w:val="single" w:sz="4" w:space="0" w:color="FFFFFF"/>
              <w:left w:val="nil"/>
              <w:bottom w:val="single" w:sz="12" w:space="0" w:color="auto"/>
              <w:right w:val="single" w:sz="4" w:space="0" w:color="FFFFFF"/>
            </w:tcBorders>
            <w:shd w:val="clear" w:color="auto" w:fill="auto"/>
            <w:noWrap/>
            <w:vAlign w:val="bottom"/>
          </w:tcPr>
          <w:p w14:paraId="7405F8D0" w14:textId="77777777" w:rsidR="00D7014B" w:rsidRPr="0088338F" w:rsidRDefault="00D7014B" w:rsidP="00A45FE4">
            <w:pPr>
              <w:jc w:val="right"/>
              <w:rPr>
                <w:rFonts w:ascii="Arial" w:hAnsi="Arial" w:cs="Arial"/>
                <w:b/>
                <w:bCs/>
                <w:sz w:val="18"/>
                <w:szCs w:val="18"/>
                <w:lang w:eastAsia="en-US"/>
              </w:rPr>
            </w:pPr>
            <w:r w:rsidRPr="0088338F">
              <w:rPr>
                <w:rFonts w:ascii="Arial" w:hAnsi="Arial" w:cs="Arial"/>
                <w:b/>
                <w:bCs/>
                <w:sz w:val="18"/>
                <w:szCs w:val="18"/>
                <w:lang w:eastAsia="en-US"/>
              </w:rPr>
              <w:t>25 121</w:t>
            </w:r>
          </w:p>
        </w:tc>
        <w:tc>
          <w:tcPr>
            <w:tcW w:w="1287" w:type="dxa"/>
            <w:tcBorders>
              <w:top w:val="single" w:sz="4" w:space="0" w:color="FFFFFF"/>
              <w:left w:val="nil"/>
              <w:bottom w:val="single" w:sz="12" w:space="0" w:color="auto"/>
              <w:right w:val="single" w:sz="4" w:space="0" w:color="FFFFFF"/>
            </w:tcBorders>
            <w:shd w:val="clear" w:color="auto" w:fill="auto"/>
            <w:noWrap/>
            <w:vAlign w:val="bottom"/>
          </w:tcPr>
          <w:p w14:paraId="24274B2F" w14:textId="6D864B3F" w:rsidR="00D7014B" w:rsidRPr="0088338F" w:rsidRDefault="0085704D" w:rsidP="0085704D">
            <w:pPr>
              <w:jc w:val="right"/>
              <w:rPr>
                <w:rFonts w:ascii="Arial" w:hAnsi="Arial" w:cs="Arial"/>
                <w:b/>
                <w:bCs/>
                <w:sz w:val="18"/>
                <w:szCs w:val="18"/>
                <w:lang w:eastAsia="en-US"/>
              </w:rPr>
            </w:pPr>
            <w:r w:rsidRPr="0088338F">
              <w:rPr>
                <w:rFonts w:ascii="Arial" w:hAnsi="Arial" w:cs="Arial"/>
                <w:b/>
                <w:bCs/>
                <w:sz w:val="18"/>
                <w:szCs w:val="18"/>
                <w:lang w:eastAsia="en-US"/>
              </w:rPr>
              <w:t>35</w:t>
            </w:r>
            <w:r w:rsidR="00D7014B" w:rsidRPr="0088338F">
              <w:rPr>
                <w:rFonts w:ascii="Arial" w:hAnsi="Arial" w:cs="Arial"/>
                <w:b/>
                <w:bCs/>
                <w:sz w:val="18"/>
                <w:szCs w:val="18"/>
                <w:lang w:eastAsia="en-US"/>
              </w:rPr>
              <w:t xml:space="preserve"> </w:t>
            </w:r>
            <w:r w:rsidRPr="0088338F">
              <w:rPr>
                <w:rFonts w:ascii="Arial" w:hAnsi="Arial" w:cs="Arial"/>
                <w:b/>
                <w:bCs/>
                <w:sz w:val="18"/>
                <w:szCs w:val="18"/>
                <w:lang w:eastAsia="en-US"/>
              </w:rPr>
              <w:t>856</w:t>
            </w:r>
          </w:p>
        </w:tc>
        <w:tc>
          <w:tcPr>
            <w:tcW w:w="1134" w:type="dxa"/>
            <w:tcBorders>
              <w:top w:val="single" w:sz="4" w:space="0" w:color="FFFFFF"/>
              <w:left w:val="nil"/>
              <w:bottom w:val="single" w:sz="12" w:space="0" w:color="auto"/>
              <w:right w:val="single" w:sz="4" w:space="0" w:color="FFFFFF"/>
            </w:tcBorders>
            <w:shd w:val="clear" w:color="auto" w:fill="auto"/>
            <w:noWrap/>
            <w:vAlign w:val="bottom"/>
          </w:tcPr>
          <w:p w14:paraId="127C1B3A" w14:textId="798C3015" w:rsidR="00D7014B" w:rsidRPr="0088338F" w:rsidRDefault="0085704D" w:rsidP="0085704D">
            <w:pPr>
              <w:jc w:val="right"/>
              <w:rPr>
                <w:rFonts w:ascii="Arial" w:hAnsi="Arial" w:cs="Arial"/>
                <w:b/>
                <w:bCs/>
                <w:sz w:val="18"/>
                <w:szCs w:val="18"/>
                <w:lang w:eastAsia="en-US"/>
              </w:rPr>
            </w:pPr>
            <w:r w:rsidRPr="0088338F">
              <w:rPr>
                <w:rFonts w:ascii="Arial" w:hAnsi="Arial" w:cs="Arial"/>
                <w:b/>
                <w:bCs/>
                <w:sz w:val="18"/>
                <w:szCs w:val="18"/>
                <w:lang w:eastAsia="en-US"/>
              </w:rPr>
              <w:t>5</w:t>
            </w:r>
            <w:r w:rsidR="00D7014B" w:rsidRPr="0088338F">
              <w:rPr>
                <w:rFonts w:ascii="Arial" w:hAnsi="Arial" w:cs="Arial"/>
                <w:b/>
                <w:bCs/>
                <w:sz w:val="18"/>
                <w:szCs w:val="18"/>
                <w:lang w:eastAsia="en-US"/>
              </w:rPr>
              <w:t xml:space="preserve"> </w:t>
            </w:r>
            <w:r w:rsidRPr="0088338F">
              <w:rPr>
                <w:rFonts w:ascii="Arial" w:hAnsi="Arial" w:cs="Arial"/>
                <w:b/>
                <w:bCs/>
                <w:sz w:val="18"/>
                <w:szCs w:val="18"/>
                <w:lang w:eastAsia="en-US"/>
              </w:rPr>
              <w:t>0</w:t>
            </w:r>
            <w:r w:rsidR="00C8696B" w:rsidRPr="0088338F">
              <w:rPr>
                <w:rFonts w:ascii="Arial" w:hAnsi="Arial" w:cs="Arial"/>
                <w:b/>
                <w:bCs/>
                <w:sz w:val="18"/>
                <w:szCs w:val="18"/>
                <w:lang w:eastAsia="en-US"/>
              </w:rPr>
              <w:t>2</w:t>
            </w:r>
            <w:r w:rsidRPr="0088338F">
              <w:rPr>
                <w:rFonts w:ascii="Arial" w:hAnsi="Arial" w:cs="Arial"/>
                <w:b/>
                <w:bCs/>
                <w:sz w:val="18"/>
                <w:szCs w:val="18"/>
                <w:lang w:eastAsia="en-US"/>
              </w:rPr>
              <w:t>4</w:t>
            </w:r>
          </w:p>
        </w:tc>
        <w:tc>
          <w:tcPr>
            <w:tcW w:w="1534" w:type="dxa"/>
            <w:tcBorders>
              <w:top w:val="single" w:sz="4" w:space="0" w:color="FFFFFF"/>
              <w:left w:val="nil"/>
              <w:bottom w:val="single" w:sz="12" w:space="0" w:color="auto"/>
              <w:right w:val="single" w:sz="4" w:space="0" w:color="FFFFFF"/>
            </w:tcBorders>
            <w:shd w:val="clear" w:color="auto" w:fill="auto"/>
            <w:noWrap/>
            <w:vAlign w:val="bottom"/>
          </w:tcPr>
          <w:p w14:paraId="3E2D28AF" w14:textId="71D2FAEA" w:rsidR="00D7014B" w:rsidRPr="0088338F" w:rsidRDefault="00C8696B" w:rsidP="0085704D">
            <w:pPr>
              <w:ind w:right="-57"/>
              <w:jc w:val="right"/>
              <w:rPr>
                <w:rFonts w:ascii="Arial" w:hAnsi="Arial" w:cs="Arial"/>
                <w:b/>
                <w:bCs/>
                <w:sz w:val="18"/>
                <w:szCs w:val="18"/>
                <w:lang w:eastAsia="en-US"/>
              </w:rPr>
            </w:pPr>
            <w:r w:rsidRPr="0088338F">
              <w:rPr>
                <w:rFonts w:ascii="Arial" w:hAnsi="Arial" w:cs="Arial"/>
                <w:b/>
                <w:bCs/>
                <w:sz w:val="18"/>
                <w:szCs w:val="18"/>
                <w:lang w:eastAsia="en-US"/>
              </w:rPr>
              <w:t>2</w:t>
            </w:r>
            <w:r w:rsidR="00D7014B" w:rsidRPr="0088338F">
              <w:rPr>
                <w:rFonts w:ascii="Arial" w:hAnsi="Arial" w:cs="Arial"/>
                <w:b/>
                <w:bCs/>
                <w:sz w:val="18"/>
                <w:szCs w:val="18"/>
                <w:lang w:eastAsia="en-US"/>
              </w:rPr>
              <w:t xml:space="preserve"> </w:t>
            </w:r>
            <w:r w:rsidR="0085704D" w:rsidRPr="0088338F">
              <w:rPr>
                <w:rFonts w:ascii="Arial" w:hAnsi="Arial" w:cs="Arial"/>
                <w:b/>
                <w:bCs/>
                <w:sz w:val="18"/>
                <w:szCs w:val="18"/>
                <w:lang w:eastAsia="en-US"/>
              </w:rPr>
              <w:t>618</w:t>
            </w:r>
          </w:p>
        </w:tc>
        <w:tc>
          <w:tcPr>
            <w:tcW w:w="1442" w:type="dxa"/>
            <w:tcBorders>
              <w:top w:val="single" w:sz="4" w:space="0" w:color="FFFFFF"/>
              <w:left w:val="nil"/>
              <w:bottom w:val="single" w:sz="12" w:space="0" w:color="auto"/>
              <w:right w:val="nil"/>
            </w:tcBorders>
            <w:vAlign w:val="bottom"/>
          </w:tcPr>
          <w:p w14:paraId="657E8648" w14:textId="4393100D" w:rsidR="00D7014B" w:rsidRPr="0088338F" w:rsidRDefault="00D7014B" w:rsidP="0085704D">
            <w:pPr>
              <w:ind w:right="-57"/>
              <w:jc w:val="right"/>
              <w:rPr>
                <w:rFonts w:ascii="Arial" w:hAnsi="Arial" w:cs="Arial"/>
                <w:b/>
                <w:bCs/>
                <w:sz w:val="18"/>
                <w:szCs w:val="18"/>
                <w:lang w:eastAsia="en-US"/>
              </w:rPr>
            </w:pPr>
            <w:r w:rsidRPr="0088338F">
              <w:rPr>
                <w:rFonts w:ascii="Arial" w:hAnsi="Arial" w:cs="Arial"/>
                <w:b/>
                <w:bCs/>
                <w:sz w:val="18"/>
                <w:szCs w:val="18"/>
                <w:lang w:eastAsia="en-US"/>
              </w:rPr>
              <w:t>(</w:t>
            </w:r>
            <w:r w:rsidR="0085704D" w:rsidRPr="0088338F">
              <w:rPr>
                <w:rFonts w:ascii="Arial" w:hAnsi="Arial" w:cs="Arial"/>
                <w:b/>
                <w:bCs/>
                <w:sz w:val="18"/>
                <w:szCs w:val="18"/>
                <w:lang w:eastAsia="en-US"/>
              </w:rPr>
              <w:t>93</w:t>
            </w:r>
            <w:r w:rsidRPr="0088338F">
              <w:rPr>
                <w:rFonts w:ascii="Arial" w:hAnsi="Arial" w:cs="Arial"/>
                <w:b/>
                <w:bCs/>
                <w:sz w:val="18"/>
                <w:szCs w:val="18"/>
                <w:lang w:eastAsia="en-US"/>
              </w:rPr>
              <w:t>)</w:t>
            </w:r>
          </w:p>
        </w:tc>
        <w:tc>
          <w:tcPr>
            <w:tcW w:w="993" w:type="dxa"/>
            <w:tcBorders>
              <w:top w:val="single" w:sz="4" w:space="0" w:color="FFFFFF"/>
              <w:left w:val="nil"/>
              <w:bottom w:val="single" w:sz="12" w:space="0" w:color="auto"/>
              <w:right w:val="single" w:sz="4" w:space="0" w:color="FFFFFF"/>
            </w:tcBorders>
            <w:shd w:val="clear" w:color="auto" w:fill="auto"/>
            <w:noWrap/>
            <w:vAlign w:val="bottom"/>
          </w:tcPr>
          <w:p w14:paraId="41F267A6" w14:textId="7167EC15" w:rsidR="00D7014B" w:rsidRPr="0088338F" w:rsidRDefault="0085704D" w:rsidP="0085704D">
            <w:pPr>
              <w:jc w:val="right"/>
              <w:rPr>
                <w:rFonts w:ascii="Arial" w:hAnsi="Arial" w:cs="Arial"/>
                <w:b/>
                <w:bCs/>
                <w:sz w:val="18"/>
                <w:szCs w:val="18"/>
                <w:lang w:eastAsia="en-US"/>
              </w:rPr>
            </w:pPr>
            <w:r w:rsidRPr="0088338F">
              <w:rPr>
                <w:rFonts w:ascii="Arial" w:hAnsi="Arial" w:cs="Arial"/>
                <w:b/>
                <w:bCs/>
                <w:sz w:val="18"/>
                <w:szCs w:val="18"/>
                <w:lang w:eastAsia="en-US"/>
              </w:rPr>
              <w:t>68</w:t>
            </w:r>
            <w:r w:rsidR="00D7014B" w:rsidRPr="0088338F">
              <w:rPr>
                <w:rFonts w:ascii="Arial" w:hAnsi="Arial" w:cs="Arial"/>
                <w:b/>
                <w:bCs/>
                <w:sz w:val="18"/>
                <w:szCs w:val="18"/>
                <w:lang w:eastAsia="en-US"/>
              </w:rPr>
              <w:t xml:space="preserve"> </w:t>
            </w:r>
            <w:r w:rsidRPr="0088338F">
              <w:rPr>
                <w:rFonts w:ascii="Arial" w:hAnsi="Arial" w:cs="Arial"/>
                <w:b/>
                <w:bCs/>
                <w:sz w:val="18"/>
                <w:szCs w:val="18"/>
                <w:lang w:eastAsia="en-US"/>
              </w:rPr>
              <w:t>526</w:t>
            </w:r>
          </w:p>
        </w:tc>
      </w:tr>
      <w:tr w:rsidR="00BE51EE" w:rsidRPr="0088338F" w14:paraId="09769B96" w14:textId="77777777" w:rsidTr="00952870">
        <w:trPr>
          <w:trHeight w:val="270"/>
        </w:trPr>
        <w:tc>
          <w:tcPr>
            <w:tcW w:w="2093" w:type="dxa"/>
            <w:tcBorders>
              <w:top w:val="single" w:sz="12" w:space="0" w:color="auto"/>
              <w:left w:val="single" w:sz="4" w:space="0" w:color="FFFFFF"/>
              <w:right w:val="single" w:sz="4" w:space="0" w:color="FFFFFF"/>
            </w:tcBorders>
            <w:shd w:val="clear" w:color="auto" w:fill="auto"/>
            <w:vAlign w:val="bottom"/>
          </w:tcPr>
          <w:p w14:paraId="295EBB7E" w14:textId="77777777" w:rsidR="00BE51EE" w:rsidRPr="0088338F" w:rsidRDefault="00BE51EE" w:rsidP="00A45FE4">
            <w:pPr>
              <w:rPr>
                <w:rFonts w:ascii="Arial" w:hAnsi="Arial" w:cs="Arial"/>
                <w:b/>
                <w:bCs/>
                <w:sz w:val="18"/>
                <w:szCs w:val="18"/>
                <w:lang w:eastAsia="en-US"/>
              </w:rPr>
            </w:pPr>
          </w:p>
        </w:tc>
        <w:tc>
          <w:tcPr>
            <w:tcW w:w="1010" w:type="dxa"/>
            <w:tcBorders>
              <w:top w:val="single" w:sz="12" w:space="0" w:color="auto"/>
              <w:left w:val="nil"/>
              <w:right w:val="single" w:sz="4" w:space="0" w:color="FFFFFF"/>
            </w:tcBorders>
            <w:shd w:val="clear" w:color="auto" w:fill="auto"/>
            <w:noWrap/>
            <w:vAlign w:val="bottom"/>
          </w:tcPr>
          <w:p w14:paraId="324B982E" w14:textId="77777777" w:rsidR="00BE51EE" w:rsidRPr="0088338F" w:rsidRDefault="00BE51EE" w:rsidP="00A45FE4">
            <w:pPr>
              <w:jc w:val="right"/>
              <w:rPr>
                <w:rFonts w:ascii="Arial" w:hAnsi="Arial" w:cs="Arial"/>
                <w:b/>
                <w:bCs/>
                <w:sz w:val="18"/>
                <w:szCs w:val="18"/>
                <w:lang w:eastAsia="en-US"/>
              </w:rPr>
            </w:pPr>
          </w:p>
        </w:tc>
        <w:tc>
          <w:tcPr>
            <w:tcW w:w="1287" w:type="dxa"/>
            <w:tcBorders>
              <w:top w:val="single" w:sz="12" w:space="0" w:color="auto"/>
              <w:left w:val="nil"/>
              <w:right w:val="single" w:sz="4" w:space="0" w:color="FFFFFF"/>
            </w:tcBorders>
            <w:shd w:val="clear" w:color="auto" w:fill="auto"/>
            <w:noWrap/>
            <w:vAlign w:val="bottom"/>
          </w:tcPr>
          <w:p w14:paraId="1919FA86" w14:textId="77777777" w:rsidR="00BE51EE" w:rsidRPr="0088338F" w:rsidRDefault="00BE51EE" w:rsidP="00A45FE4">
            <w:pPr>
              <w:jc w:val="right"/>
              <w:rPr>
                <w:rFonts w:ascii="Arial" w:hAnsi="Arial" w:cs="Arial"/>
                <w:b/>
                <w:bCs/>
                <w:sz w:val="18"/>
                <w:szCs w:val="18"/>
                <w:lang w:eastAsia="en-US"/>
              </w:rPr>
            </w:pPr>
          </w:p>
        </w:tc>
        <w:tc>
          <w:tcPr>
            <w:tcW w:w="1134" w:type="dxa"/>
            <w:tcBorders>
              <w:top w:val="single" w:sz="12" w:space="0" w:color="auto"/>
              <w:left w:val="nil"/>
              <w:right w:val="single" w:sz="4" w:space="0" w:color="FFFFFF"/>
            </w:tcBorders>
            <w:shd w:val="clear" w:color="auto" w:fill="auto"/>
            <w:noWrap/>
            <w:vAlign w:val="bottom"/>
          </w:tcPr>
          <w:p w14:paraId="14ACAA0B" w14:textId="77777777" w:rsidR="00BE51EE" w:rsidRPr="0088338F" w:rsidRDefault="00BE51EE" w:rsidP="00A45FE4">
            <w:pPr>
              <w:jc w:val="right"/>
              <w:rPr>
                <w:rFonts w:ascii="Arial" w:hAnsi="Arial" w:cs="Arial"/>
                <w:b/>
                <w:bCs/>
                <w:sz w:val="18"/>
                <w:szCs w:val="18"/>
                <w:lang w:eastAsia="en-US"/>
              </w:rPr>
            </w:pPr>
          </w:p>
        </w:tc>
        <w:tc>
          <w:tcPr>
            <w:tcW w:w="1534" w:type="dxa"/>
            <w:tcBorders>
              <w:top w:val="single" w:sz="12" w:space="0" w:color="auto"/>
              <w:left w:val="nil"/>
              <w:right w:val="single" w:sz="4" w:space="0" w:color="FFFFFF"/>
            </w:tcBorders>
            <w:shd w:val="clear" w:color="auto" w:fill="auto"/>
            <w:noWrap/>
            <w:vAlign w:val="bottom"/>
          </w:tcPr>
          <w:p w14:paraId="3F0426C9" w14:textId="77777777" w:rsidR="00BE51EE" w:rsidRPr="0088338F" w:rsidRDefault="00BE51EE" w:rsidP="00A45FE4">
            <w:pPr>
              <w:jc w:val="right"/>
              <w:rPr>
                <w:rFonts w:ascii="Arial" w:hAnsi="Arial" w:cs="Arial"/>
                <w:b/>
                <w:bCs/>
                <w:sz w:val="18"/>
                <w:szCs w:val="18"/>
                <w:lang w:eastAsia="en-US"/>
              </w:rPr>
            </w:pPr>
          </w:p>
        </w:tc>
        <w:tc>
          <w:tcPr>
            <w:tcW w:w="1442" w:type="dxa"/>
            <w:tcBorders>
              <w:top w:val="single" w:sz="12" w:space="0" w:color="auto"/>
              <w:left w:val="nil"/>
              <w:right w:val="nil"/>
            </w:tcBorders>
          </w:tcPr>
          <w:p w14:paraId="1D50CF1A" w14:textId="77777777" w:rsidR="00BE51EE" w:rsidRPr="0088338F" w:rsidRDefault="00BE51EE" w:rsidP="00A45FE4">
            <w:pPr>
              <w:jc w:val="right"/>
              <w:rPr>
                <w:rFonts w:ascii="Arial" w:hAnsi="Arial" w:cs="Arial"/>
                <w:b/>
                <w:bCs/>
                <w:sz w:val="18"/>
                <w:szCs w:val="18"/>
                <w:lang w:eastAsia="en-US"/>
              </w:rPr>
            </w:pPr>
          </w:p>
        </w:tc>
        <w:tc>
          <w:tcPr>
            <w:tcW w:w="993" w:type="dxa"/>
            <w:tcBorders>
              <w:top w:val="single" w:sz="12" w:space="0" w:color="auto"/>
              <w:left w:val="nil"/>
              <w:right w:val="single" w:sz="4" w:space="0" w:color="FFFFFF"/>
            </w:tcBorders>
            <w:shd w:val="clear" w:color="auto" w:fill="auto"/>
            <w:noWrap/>
            <w:vAlign w:val="bottom"/>
          </w:tcPr>
          <w:p w14:paraId="4025E95E" w14:textId="77777777" w:rsidR="00BE51EE" w:rsidRPr="0088338F" w:rsidRDefault="00BE51EE" w:rsidP="00A45FE4">
            <w:pPr>
              <w:jc w:val="right"/>
              <w:rPr>
                <w:rFonts w:ascii="Arial" w:hAnsi="Arial" w:cs="Arial"/>
                <w:b/>
                <w:bCs/>
                <w:sz w:val="18"/>
                <w:szCs w:val="18"/>
                <w:lang w:eastAsia="en-US"/>
              </w:rPr>
            </w:pPr>
          </w:p>
        </w:tc>
      </w:tr>
      <w:tr w:rsidR="00BE51EE" w:rsidRPr="0088338F" w14:paraId="41843DF3" w14:textId="77777777" w:rsidTr="00952870">
        <w:trPr>
          <w:trHeight w:val="255"/>
        </w:trPr>
        <w:tc>
          <w:tcPr>
            <w:tcW w:w="2093" w:type="dxa"/>
            <w:tcBorders>
              <w:bottom w:val="single" w:sz="12" w:space="0" w:color="auto"/>
            </w:tcBorders>
            <w:shd w:val="clear" w:color="auto" w:fill="auto"/>
            <w:noWrap/>
            <w:vAlign w:val="bottom"/>
          </w:tcPr>
          <w:p w14:paraId="263B7434" w14:textId="77777777" w:rsidR="00BE51EE" w:rsidRPr="0088338F" w:rsidRDefault="00BE51EE" w:rsidP="00A45FE4">
            <w:pPr>
              <w:rPr>
                <w:rFonts w:ascii="Arial" w:hAnsi="Arial" w:cs="Arial"/>
                <w:b/>
                <w:bCs/>
                <w:sz w:val="18"/>
                <w:szCs w:val="18"/>
                <w:lang w:eastAsia="en-US"/>
              </w:rPr>
            </w:pPr>
          </w:p>
        </w:tc>
        <w:tc>
          <w:tcPr>
            <w:tcW w:w="1010" w:type="dxa"/>
            <w:tcBorders>
              <w:bottom w:val="single" w:sz="12" w:space="0" w:color="auto"/>
            </w:tcBorders>
            <w:shd w:val="clear" w:color="auto" w:fill="auto"/>
            <w:noWrap/>
            <w:vAlign w:val="center"/>
          </w:tcPr>
          <w:p w14:paraId="51E5B6E5" w14:textId="77777777" w:rsidR="00BE51EE" w:rsidRPr="0088338F" w:rsidRDefault="00BE51EE" w:rsidP="00A45FE4">
            <w:pPr>
              <w:jc w:val="right"/>
              <w:rPr>
                <w:rFonts w:ascii="Arial" w:hAnsi="Arial" w:cs="Arial"/>
                <w:b/>
                <w:bCs/>
                <w:sz w:val="18"/>
                <w:szCs w:val="18"/>
                <w:lang w:eastAsia="en-US"/>
              </w:rPr>
            </w:pPr>
          </w:p>
        </w:tc>
        <w:tc>
          <w:tcPr>
            <w:tcW w:w="1287" w:type="dxa"/>
            <w:tcBorders>
              <w:bottom w:val="single" w:sz="12" w:space="0" w:color="auto"/>
            </w:tcBorders>
            <w:shd w:val="clear" w:color="auto" w:fill="auto"/>
            <w:noWrap/>
            <w:vAlign w:val="center"/>
          </w:tcPr>
          <w:p w14:paraId="74A65E62" w14:textId="77777777" w:rsidR="00BE51EE" w:rsidRPr="0088338F" w:rsidRDefault="00BE51EE" w:rsidP="00A45FE4">
            <w:pPr>
              <w:jc w:val="right"/>
              <w:rPr>
                <w:rFonts w:ascii="Arial" w:hAnsi="Arial" w:cs="Arial"/>
                <w:b/>
                <w:bCs/>
                <w:sz w:val="18"/>
                <w:szCs w:val="18"/>
                <w:lang w:eastAsia="en-US"/>
              </w:rPr>
            </w:pPr>
          </w:p>
        </w:tc>
        <w:tc>
          <w:tcPr>
            <w:tcW w:w="1134" w:type="dxa"/>
            <w:tcBorders>
              <w:bottom w:val="single" w:sz="12" w:space="0" w:color="auto"/>
            </w:tcBorders>
            <w:shd w:val="clear" w:color="auto" w:fill="auto"/>
            <w:noWrap/>
            <w:vAlign w:val="center"/>
          </w:tcPr>
          <w:p w14:paraId="2D7FC4B9" w14:textId="77777777" w:rsidR="00BE51EE" w:rsidRPr="0088338F" w:rsidRDefault="00BE51EE" w:rsidP="00A45FE4">
            <w:pPr>
              <w:jc w:val="right"/>
              <w:rPr>
                <w:rFonts w:ascii="Arial" w:hAnsi="Arial" w:cs="Arial"/>
                <w:b/>
                <w:bCs/>
                <w:sz w:val="18"/>
                <w:szCs w:val="18"/>
                <w:lang w:eastAsia="en-US"/>
              </w:rPr>
            </w:pPr>
          </w:p>
        </w:tc>
        <w:tc>
          <w:tcPr>
            <w:tcW w:w="1534" w:type="dxa"/>
            <w:tcBorders>
              <w:bottom w:val="single" w:sz="12" w:space="0" w:color="auto"/>
            </w:tcBorders>
            <w:shd w:val="clear" w:color="auto" w:fill="auto"/>
            <w:noWrap/>
            <w:vAlign w:val="center"/>
          </w:tcPr>
          <w:p w14:paraId="19AAAF12" w14:textId="77777777" w:rsidR="00BE51EE" w:rsidRPr="0088338F" w:rsidRDefault="00BE51EE" w:rsidP="00A45FE4">
            <w:pPr>
              <w:jc w:val="right"/>
              <w:rPr>
                <w:rFonts w:ascii="Arial" w:hAnsi="Arial" w:cs="Arial"/>
                <w:b/>
                <w:bCs/>
                <w:sz w:val="18"/>
                <w:szCs w:val="18"/>
                <w:lang w:eastAsia="en-US"/>
              </w:rPr>
            </w:pPr>
          </w:p>
        </w:tc>
        <w:tc>
          <w:tcPr>
            <w:tcW w:w="1442" w:type="dxa"/>
            <w:tcBorders>
              <w:bottom w:val="single" w:sz="12" w:space="0" w:color="auto"/>
            </w:tcBorders>
          </w:tcPr>
          <w:p w14:paraId="440B126A" w14:textId="77777777" w:rsidR="00BE51EE" w:rsidRPr="0088338F" w:rsidRDefault="00BE51EE" w:rsidP="00A45FE4">
            <w:pPr>
              <w:jc w:val="right"/>
              <w:rPr>
                <w:rFonts w:ascii="Arial" w:hAnsi="Arial" w:cs="Arial"/>
                <w:b/>
                <w:bCs/>
                <w:sz w:val="18"/>
                <w:szCs w:val="18"/>
                <w:lang w:eastAsia="en-US"/>
              </w:rPr>
            </w:pPr>
          </w:p>
        </w:tc>
        <w:tc>
          <w:tcPr>
            <w:tcW w:w="993" w:type="dxa"/>
            <w:tcBorders>
              <w:bottom w:val="single" w:sz="12" w:space="0" w:color="auto"/>
            </w:tcBorders>
            <w:shd w:val="clear" w:color="auto" w:fill="auto"/>
            <w:noWrap/>
            <w:vAlign w:val="center"/>
          </w:tcPr>
          <w:p w14:paraId="77CE5448" w14:textId="77777777" w:rsidR="00BE51EE" w:rsidRPr="0088338F" w:rsidRDefault="00BE51EE" w:rsidP="00A45FE4">
            <w:pPr>
              <w:jc w:val="right"/>
              <w:rPr>
                <w:rFonts w:ascii="Arial" w:hAnsi="Arial" w:cs="Arial"/>
                <w:b/>
                <w:bCs/>
                <w:sz w:val="18"/>
                <w:szCs w:val="18"/>
                <w:lang w:eastAsia="en-US"/>
              </w:rPr>
            </w:pPr>
          </w:p>
        </w:tc>
      </w:tr>
      <w:tr w:rsidR="00BE51EE" w:rsidRPr="0088338F" w14:paraId="4EE1168F" w14:textId="77777777" w:rsidTr="00952870">
        <w:trPr>
          <w:trHeight w:val="255"/>
        </w:trPr>
        <w:tc>
          <w:tcPr>
            <w:tcW w:w="2093" w:type="dxa"/>
            <w:tcBorders>
              <w:top w:val="single" w:sz="12" w:space="0" w:color="auto"/>
            </w:tcBorders>
            <w:shd w:val="clear" w:color="auto" w:fill="auto"/>
            <w:noWrap/>
            <w:vAlign w:val="bottom"/>
          </w:tcPr>
          <w:p w14:paraId="09496D6B" w14:textId="77777777" w:rsidR="00BE51EE" w:rsidRPr="0088338F" w:rsidRDefault="00BE51EE" w:rsidP="00A45FE4">
            <w:pPr>
              <w:rPr>
                <w:rFonts w:ascii="Arial" w:hAnsi="Arial" w:cs="Arial"/>
                <w:b/>
                <w:bCs/>
                <w:sz w:val="18"/>
                <w:szCs w:val="18"/>
                <w:lang w:eastAsia="en-US"/>
              </w:rPr>
            </w:pPr>
          </w:p>
        </w:tc>
        <w:tc>
          <w:tcPr>
            <w:tcW w:w="1010" w:type="dxa"/>
            <w:tcBorders>
              <w:top w:val="single" w:sz="12" w:space="0" w:color="auto"/>
            </w:tcBorders>
            <w:shd w:val="clear" w:color="auto" w:fill="auto"/>
            <w:noWrap/>
            <w:vAlign w:val="center"/>
          </w:tcPr>
          <w:p w14:paraId="60F7690D"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Základné</w:t>
            </w:r>
            <w:r w:rsidRPr="0088338F">
              <w:rPr>
                <w:rFonts w:ascii="Arial" w:hAnsi="Arial" w:cs="Arial"/>
                <w:b/>
                <w:bCs/>
                <w:sz w:val="18"/>
                <w:szCs w:val="18"/>
                <w:lang w:eastAsia="en-US"/>
              </w:rPr>
              <w:br/>
              <w:t>imanie</w:t>
            </w:r>
          </w:p>
        </w:tc>
        <w:tc>
          <w:tcPr>
            <w:tcW w:w="1287" w:type="dxa"/>
            <w:tcBorders>
              <w:top w:val="single" w:sz="12" w:space="0" w:color="auto"/>
            </w:tcBorders>
            <w:shd w:val="clear" w:color="auto" w:fill="auto"/>
            <w:noWrap/>
            <w:vAlign w:val="center"/>
          </w:tcPr>
          <w:p w14:paraId="0E8606FF"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Nerozdelený zisk</w:t>
            </w:r>
          </w:p>
        </w:tc>
        <w:tc>
          <w:tcPr>
            <w:tcW w:w="1134" w:type="dxa"/>
            <w:tcBorders>
              <w:top w:val="single" w:sz="12" w:space="0" w:color="auto"/>
            </w:tcBorders>
            <w:shd w:val="clear" w:color="auto" w:fill="auto"/>
            <w:noWrap/>
            <w:vAlign w:val="center"/>
          </w:tcPr>
          <w:p w14:paraId="46C70DFF"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Kapitálové fondy a fondy zo zisku</w:t>
            </w:r>
          </w:p>
        </w:tc>
        <w:tc>
          <w:tcPr>
            <w:tcW w:w="1534" w:type="dxa"/>
            <w:tcBorders>
              <w:top w:val="single" w:sz="12" w:space="0" w:color="auto"/>
            </w:tcBorders>
            <w:shd w:val="clear" w:color="auto" w:fill="auto"/>
            <w:noWrap/>
            <w:vAlign w:val="center"/>
          </w:tcPr>
          <w:p w14:paraId="5D70D3AA"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Oceňovacie rozdiely z cenných papierov k dispozícii na predaj vrátane odloženej dane</w:t>
            </w:r>
          </w:p>
        </w:tc>
        <w:tc>
          <w:tcPr>
            <w:tcW w:w="1442" w:type="dxa"/>
            <w:tcBorders>
              <w:top w:val="single" w:sz="12" w:space="0" w:color="auto"/>
            </w:tcBorders>
          </w:tcPr>
          <w:p w14:paraId="4C750D67" w14:textId="57939EB9"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Oceňovacie rozdiely z prepočtu zabezpe</w:t>
            </w:r>
            <w:r w:rsidR="00A45FE4" w:rsidRPr="0088338F">
              <w:rPr>
                <w:rFonts w:ascii="Arial" w:hAnsi="Arial" w:cs="Arial"/>
                <w:b/>
                <w:bCs/>
                <w:sz w:val="18"/>
                <w:szCs w:val="18"/>
                <w:lang w:eastAsia="en-US"/>
              </w:rPr>
              <w:t>-</w:t>
            </w:r>
            <w:r w:rsidRPr="0088338F">
              <w:rPr>
                <w:rFonts w:ascii="Arial" w:hAnsi="Arial" w:cs="Arial"/>
                <w:b/>
                <w:bCs/>
                <w:sz w:val="18"/>
                <w:szCs w:val="18"/>
                <w:lang w:eastAsia="en-US"/>
              </w:rPr>
              <w:t>čovacích derivátov, vrátane odloženej dane</w:t>
            </w:r>
          </w:p>
        </w:tc>
        <w:tc>
          <w:tcPr>
            <w:tcW w:w="993" w:type="dxa"/>
            <w:tcBorders>
              <w:top w:val="single" w:sz="12" w:space="0" w:color="auto"/>
            </w:tcBorders>
            <w:shd w:val="clear" w:color="auto" w:fill="auto"/>
            <w:noWrap/>
            <w:vAlign w:val="center"/>
          </w:tcPr>
          <w:p w14:paraId="419010CB"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Spolu</w:t>
            </w:r>
          </w:p>
        </w:tc>
      </w:tr>
      <w:tr w:rsidR="00BE51EE" w:rsidRPr="0088338F" w14:paraId="49F3FD06" w14:textId="77777777" w:rsidTr="00952870">
        <w:trPr>
          <w:trHeight w:val="255"/>
        </w:trPr>
        <w:tc>
          <w:tcPr>
            <w:tcW w:w="2093" w:type="dxa"/>
            <w:tcBorders>
              <w:left w:val="single" w:sz="4" w:space="0" w:color="FFFFFF"/>
              <w:bottom w:val="single" w:sz="4" w:space="0" w:color="auto"/>
              <w:right w:val="single" w:sz="4" w:space="0" w:color="FFFFFF"/>
            </w:tcBorders>
            <w:shd w:val="clear" w:color="auto" w:fill="auto"/>
            <w:noWrap/>
            <w:vAlign w:val="bottom"/>
          </w:tcPr>
          <w:p w14:paraId="2C2B4B7C" w14:textId="77777777" w:rsidR="00BE51EE" w:rsidRPr="0088338F" w:rsidRDefault="00BE51EE" w:rsidP="00A45FE4">
            <w:pPr>
              <w:rPr>
                <w:rFonts w:ascii="Arial" w:hAnsi="Arial" w:cs="Arial"/>
                <w:b/>
                <w:bCs/>
                <w:sz w:val="18"/>
                <w:szCs w:val="18"/>
                <w:lang w:eastAsia="en-US"/>
              </w:rPr>
            </w:pPr>
          </w:p>
        </w:tc>
        <w:tc>
          <w:tcPr>
            <w:tcW w:w="1010" w:type="dxa"/>
            <w:tcBorders>
              <w:left w:val="nil"/>
              <w:bottom w:val="single" w:sz="4" w:space="0" w:color="auto"/>
              <w:right w:val="single" w:sz="4" w:space="0" w:color="FFFFFF"/>
            </w:tcBorders>
            <w:shd w:val="clear" w:color="auto" w:fill="auto"/>
            <w:noWrap/>
            <w:vAlign w:val="bottom"/>
          </w:tcPr>
          <w:p w14:paraId="13FB9E3B"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tis. EUR</w:t>
            </w:r>
          </w:p>
        </w:tc>
        <w:tc>
          <w:tcPr>
            <w:tcW w:w="1287" w:type="dxa"/>
            <w:tcBorders>
              <w:left w:val="nil"/>
              <w:bottom w:val="single" w:sz="4" w:space="0" w:color="auto"/>
              <w:right w:val="single" w:sz="4" w:space="0" w:color="FFFFFF"/>
            </w:tcBorders>
            <w:shd w:val="clear" w:color="auto" w:fill="auto"/>
            <w:noWrap/>
            <w:vAlign w:val="bottom"/>
          </w:tcPr>
          <w:p w14:paraId="36F1EA2B"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tis. EUR</w:t>
            </w:r>
          </w:p>
        </w:tc>
        <w:tc>
          <w:tcPr>
            <w:tcW w:w="1134" w:type="dxa"/>
            <w:tcBorders>
              <w:left w:val="nil"/>
              <w:bottom w:val="single" w:sz="4" w:space="0" w:color="auto"/>
              <w:right w:val="single" w:sz="4" w:space="0" w:color="FFFFFF"/>
            </w:tcBorders>
            <w:shd w:val="clear" w:color="auto" w:fill="auto"/>
            <w:noWrap/>
            <w:vAlign w:val="bottom"/>
          </w:tcPr>
          <w:p w14:paraId="79B137F4"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tis. EUR</w:t>
            </w:r>
          </w:p>
        </w:tc>
        <w:tc>
          <w:tcPr>
            <w:tcW w:w="1534" w:type="dxa"/>
            <w:tcBorders>
              <w:left w:val="nil"/>
              <w:bottom w:val="single" w:sz="4" w:space="0" w:color="auto"/>
              <w:right w:val="single" w:sz="4" w:space="0" w:color="FFFFFF"/>
            </w:tcBorders>
            <w:shd w:val="clear" w:color="auto" w:fill="auto"/>
            <w:noWrap/>
            <w:vAlign w:val="bottom"/>
          </w:tcPr>
          <w:p w14:paraId="1EBC7EA8"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tis. EUR</w:t>
            </w:r>
          </w:p>
        </w:tc>
        <w:tc>
          <w:tcPr>
            <w:tcW w:w="1442" w:type="dxa"/>
            <w:tcBorders>
              <w:left w:val="nil"/>
              <w:bottom w:val="single" w:sz="4" w:space="0" w:color="auto"/>
              <w:right w:val="nil"/>
            </w:tcBorders>
            <w:vAlign w:val="bottom"/>
          </w:tcPr>
          <w:p w14:paraId="4053C5FA"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tis. EUR</w:t>
            </w:r>
          </w:p>
        </w:tc>
        <w:tc>
          <w:tcPr>
            <w:tcW w:w="993" w:type="dxa"/>
            <w:tcBorders>
              <w:left w:val="nil"/>
              <w:bottom w:val="single" w:sz="4" w:space="0" w:color="auto"/>
              <w:right w:val="single" w:sz="4" w:space="0" w:color="FFFFFF"/>
            </w:tcBorders>
            <w:shd w:val="clear" w:color="auto" w:fill="auto"/>
            <w:noWrap/>
            <w:vAlign w:val="bottom"/>
          </w:tcPr>
          <w:p w14:paraId="68DEE494" w14:textId="77777777" w:rsidR="00BE51EE" w:rsidRPr="0088338F" w:rsidRDefault="00BE51EE" w:rsidP="00A45FE4">
            <w:pPr>
              <w:jc w:val="right"/>
              <w:rPr>
                <w:rFonts w:ascii="Arial" w:hAnsi="Arial" w:cs="Arial"/>
                <w:b/>
                <w:bCs/>
                <w:sz w:val="18"/>
                <w:szCs w:val="18"/>
                <w:lang w:eastAsia="en-US"/>
              </w:rPr>
            </w:pPr>
            <w:r w:rsidRPr="0088338F">
              <w:rPr>
                <w:rFonts w:ascii="Arial" w:hAnsi="Arial" w:cs="Arial"/>
                <w:b/>
                <w:bCs/>
                <w:sz w:val="18"/>
                <w:szCs w:val="18"/>
                <w:lang w:eastAsia="en-US"/>
              </w:rPr>
              <w:t>tis. EUR</w:t>
            </w:r>
          </w:p>
        </w:tc>
      </w:tr>
      <w:tr w:rsidR="00952870" w:rsidRPr="0088338F" w14:paraId="2B3C8568" w14:textId="77777777" w:rsidTr="00952870">
        <w:trPr>
          <w:trHeight w:val="255"/>
        </w:trPr>
        <w:tc>
          <w:tcPr>
            <w:tcW w:w="2093" w:type="dxa"/>
            <w:tcBorders>
              <w:top w:val="single" w:sz="4" w:space="0" w:color="auto"/>
              <w:left w:val="single" w:sz="4" w:space="0" w:color="FFFFFF"/>
              <w:bottom w:val="single" w:sz="4" w:space="0" w:color="FFFFFF"/>
              <w:right w:val="single" w:sz="4" w:space="0" w:color="FFFFFF"/>
            </w:tcBorders>
            <w:shd w:val="clear" w:color="auto" w:fill="auto"/>
            <w:noWrap/>
            <w:vAlign w:val="bottom"/>
          </w:tcPr>
          <w:p w14:paraId="303EA14D" w14:textId="54CA8C16" w:rsidR="00952870" w:rsidRPr="0088338F" w:rsidRDefault="00952870" w:rsidP="00A45FE4">
            <w:pPr>
              <w:rPr>
                <w:rFonts w:ascii="Arial" w:hAnsi="Arial" w:cs="Arial"/>
                <w:b/>
                <w:bCs/>
                <w:sz w:val="18"/>
                <w:szCs w:val="18"/>
                <w:lang w:eastAsia="en-US"/>
              </w:rPr>
            </w:pPr>
            <w:r w:rsidRPr="0088338F">
              <w:rPr>
                <w:rFonts w:ascii="Arial" w:hAnsi="Arial" w:cs="Arial"/>
                <w:b/>
                <w:bCs/>
                <w:sz w:val="18"/>
                <w:szCs w:val="18"/>
                <w:lang w:eastAsia="en-US"/>
              </w:rPr>
              <w:t>K 1. januáru 2015</w:t>
            </w:r>
          </w:p>
        </w:tc>
        <w:tc>
          <w:tcPr>
            <w:tcW w:w="1010" w:type="dxa"/>
            <w:tcBorders>
              <w:top w:val="single" w:sz="4" w:space="0" w:color="auto"/>
              <w:left w:val="nil"/>
              <w:bottom w:val="single" w:sz="4" w:space="0" w:color="FFFFFF"/>
              <w:right w:val="single" w:sz="4" w:space="0" w:color="FFFFFF"/>
            </w:tcBorders>
            <w:shd w:val="clear" w:color="auto" w:fill="auto"/>
            <w:noWrap/>
            <w:vAlign w:val="bottom"/>
          </w:tcPr>
          <w:p w14:paraId="6DBEE3CE" w14:textId="696A11D4"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25 121</w:t>
            </w:r>
          </w:p>
        </w:tc>
        <w:tc>
          <w:tcPr>
            <w:tcW w:w="1287" w:type="dxa"/>
            <w:tcBorders>
              <w:top w:val="single" w:sz="4" w:space="0" w:color="auto"/>
              <w:left w:val="nil"/>
              <w:bottom w:val="single" w:sz="4" w:space="0" w:color="FFFFFF"/>
              <w:right w:val="single" w:sz="4" w:space="0" w:color="FFFFFF"/>
            </w:tcBorders>
            <w:shd w:val="clear" w:color="auto" w:fill="auto"/>
            <w:noWrap/>
            <w:vAlign w:val="bottom"/>
          </w:tcPr>
          <w:p w14:paraId="4F365810" w14:textId="5F03FBB1"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22 320</w:t>
            </w:r>
          </w:p>
        </w:tc>
        <w:tc>
          <w:tcPr>
            <w:tcW w:w="1134" w:type="dxa"/>
            <w:tcBorders>
              <w:top w:val="single" w:sz="4" w:space="0" w:color="auto"/>
              <w:left w:val="nil"/>
              <w:bottom w:val="single" w:sz="4" w:space="0" w:color="FFFFFF"/>
              <w:right w:val="single" w:sz="4" w:space="0" w:color="FFFFFF"/>
            </w:tcBorders>
            <w:shd w:val="clear" w:color="auto" w:fill="auto"/>
            <w:noWrap/>
            <w:vAlign w:val="bottom"/>
          </w:tcPr>
          <w:p w14:paraId="72DD2BF6" w14:textId="1FECAB4E"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4 215</w:t>
            </w:r>
          </w:p>
        </w:tc>
        <w:tc>
          <w:tcPr>
            <w:tcW w:w="1534" w:type="dxa"/>
            <w:tcBorders>
              <w:top w:val="single" w:sz="4" w:space="0" w:color="auto"/>
              <w:left w:val="nil"/>
              <w:bottom w:val="single" w:sz="4" w:space="0" w:color="FFFFFF"/>
              <w:right w:val="single" w:sz="4" w:space="0" w:color="FFFFFF"/>
            </w:tcBorders>
            <w:shd w:val="clear" w:color="auto" w:fill="auto"/>
            <w:noWrap/>
            <w:vAlign w:val="bottom"/>
          </w:tcPr>
          <w:p w14:paraId="29EC6784" w14:textId="736364DE" w:rsidR="00952870" w:rsidRPr="0088338F" w:rsidRDefault="00952870" w:rsidP="00A45FE4">
            <w:pPr>
              <w:ind w:right="-57"/>
              <w:jc w:val="right"/>
              <w:rPr>
                <w:rFonts w:ascii="Arial" w:hAnsi="Arial" w:cs="Arial"/>
                <w:b/>
                <w:bCs/>
                <w:sz w:val="18"/>
                <w:szCs w:val="18"/>
                <w:lang w:eastAsia="en-US"/>
              </w:rPr>
            </w:pPr>
            <w:r w:rsidRPr="0088338F">
              <w:rPr>
                <w:rFonts w:ascii="Arial" w:hAnsi="Arial" w:cs="Arial"/>
                <w:b/>
                <w:bCs/>
                <w:sz w:val="18"/>
                <w:szCs w:val="18"/>
                <w:lang w:eastAsia="en-US"/>
              </w:rPr>
              <w:t>3 059</w:t>
            </w:r>
          </w:p>
        </w:tc>
        <w:tc>
          <w:tcPr>
            <w:tcW w:w="1442" w:type="dxa"/>
            <w:tcBorders>
              <w:top w:val="single" w:sz="4" w:space="0" w:color="auto"/>
              <w:left w:val="nil"/>
              <w:bottom w:val="single" w:sz="4" w:space="0" w:color="FFFFFF"/>
              <w:right w:val="nil"/>
            </w:tcBorders>
          </w:tcPr>
          <w:p w14:paraId="6D4C0333" w14:textId="6D6AC687"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(177)</w:t>
            </w:r>
          </w:p>
        </w:tc>
        <w:tc>
          <w:tcPr>
            <w:tcW w:w="993" w:type="dxa"/>
            <w:tcBorders>
              <w:top w:val="single" w:sz="4" w:space="0" w:color="auto"/>
              <w:left w:val="nil"/>
              <w:bottom w:val="single" w:sz="4" w:space="0" w:color="FFFFFF"/>
              <w:right w:val="single" w:sz="4" w:space="0" w:color="FFFFFF"/>
            </w:tcBorders>
            <w:shd w:val="clear" w:color="auto" w:fill="auto"/>
            <w:noWrap/>
            <w:vAlign w:val="bottom"/>
          </w:tcPr>
          <w:p w14:paraId="1823A9F9" w14:textId="5AA95652"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54 538</w:t>
            </w:r>
          </w:p>
        </w:tc>
      </w:tr>
      <w:tr w:rsidR="00952870" w:rsidRPr="0088338F" w14:paraId="30DAD61D" w14:textId="77777777" w:rsidTr="00952870">
        <w:trPr>
          <w:trHeight w:val="255"/>
        </w:trPr>
        <w:tc>
          <w:tcPr>
            <w:tcW w:w="2093" w:type="dxa"/>
            <w:tcBorders>
              <w:top w:val="nil"/>
              <w:left w:val="single" w:sz="4" w:space="0" w:color="FFFFFF"/>
              <w:bottom w:val="single" w:sz="4" w:space="0" w:color="FFFFFF"/>
              <w:right w:val="single" w:sz="4" w:space="0" w:color="FFFFFF"/>
            </w:tcBorders>
            <w:shd w:val="clear" w:color="auto" w:fill="auto"/>
            <w:noWrap/>
            <w:vAlign w:val="bottom"/>
          </w:tcPr>
          <w:p w14:paraId="4BD6B95A" w14:textId="0EBCAEB4" w:rsidR="00952870" w:rsidRPr="0088338F" w:rsidRDefault="00952870" w:rsidP="00A45FE4">
            <w:pPr>
              <w:rPr>
                <w:rFonts w:ascii="Arial" w:hAnsi="Arial" w:cs="Arial"/>
                <w:sz w:val="18"/>
                <w:szCs w:val="18"/>
                <w:lang w:eastAsia="en-US"/>
              </w:rPr>
            </w:pPr>
            <w:r w:rsidRPr="0088338F">
              <w:rPr>
                <w:rFonts w:ascii="Arial" w:hAnsi="Arial" w:cs="Arial"/>
                <w:sz w:val="18"/>
                <w:szCs w:val="18"/>
                <w:lang w:eastAsia="en-US"/>
              </w:rPr>
              <w:t>Povinný prídel do rezervného fondu</w:t>
            </w:r>
          </w:p>
        </w:tc>
        <w:tc>
          <w:tcPr>
            <w:tcW w:w="1010" w:type="dxa"/>
            <w:tcBorders>
              <w:top w:val="nil"/>
              <w:left w:val="nil"/>
              <w:bottom w:val="single" w:sz="4" w:space="0" w:color="FFFFFF"/>
              <w:right w:val="single" w:sz="4" w:space="0" w:color="FFFFFF"/>
            </w:tcBorders>
            <w:shd w:val="clear" w:color="auto" w:fill="auto"/>
            <w:noWrap/>
            <w:vAlign w:val="bottom"/>
          </w:tcPr>
          <w:p w14:paraId="079191FB" w14:textId="0CDF8EA4" w:rsidR="00952870" w:rsidRPr="0088338F" w:rsidRDefault="00952870" w:rsidP="00A45FE4">
            <w:pPr>
              <w:jc w:val="right"/>
              <w:rPr>
                <w:rFonts w:ascii="Arial" w:hAnsi="Arial" w:cs="Arial"/>
                <w:sz w:val="18"/>
                <w:szCs w:val="18"/>
                <w:lang w:eastAsia="en-US"/>
              </w:rPr>
            </w:pPr>
            <w:r w:rsidRPr="0088338F">
              <w:rPr>
                <w:rFonts w:ascii="Arial" w:hAnsi="Arial" w:cs="Arial"/>
                <w:sz w:val="18"/>
                <w:szCs w:val="18"/>
                <w:lang w:eastAsia="en-US"/>
              </w:rPr>
              <w:t>-</w:t>
            </w:r>
          </w:p>
        </w:tc>
        <w:tc>
          <w:tcPr>
            <w:tcW w:w="1287" w:type="dxa"/>
            <w:tcBorders>
              <w:top w:val="nil"/>
              <w:left w:val="nil"/>
              <w:bottom w:val="single" w:sz="4" w:space="0" w:color="FFFFFF"/>
              <w:right w:val="single" w:sz="4" w:space="0" w:color="FFFFFF"/>
            </w:tcBorders>
            <w:shd w:val="clear" w:color="auto" w:fill="auto"/>
            <w:noWrap/>
            <w:vAlign w:val="bottom"/>
          </w:tcPr>
          <w:p w14:paraId="769A0D51" w14:textId="1CEA0C72" w:rsidR="00952870" w:rsidRPr="0088338F" w:rsidRDefault="00952870" w:rsidP="00A45FE4">
            <w:pPr>
              <w:ind w:right="-57"/>
              <w:jc w:val="right"/>
              <w:rPr>
                <w:rFonts w:ascii="Arial" w:hAnsi="Arial" w:cs="Arial"/>
                <w:sz w:val="18"/>
                <w:szCs w:val="18"/>
                <w:lang w:eastAsia="en-US"/>
              </w:rPr>
            </w:pPr>
            <w:r w:rsidRPr="0088338F">
              <w:rPr>
                <w:rFonts w:ascii="Arial" w:hAnsi="Arial" w:cs="Arial"/>
                <w:sz w:val="18"/>
                <w:szCs w:val="18"/>
                <w:lang w:eastAsia="en-US"/>
              </w:rPr>
              <w:t>(477)</w:t>
            </w:r>
          </w:p>
        </w:tc>
        <w:tc>
          <w:tcPr>
            <w:tcW w:w="1134" w:type="dxa"/>
            <w:tcBorders>
              <w:top w:val="nil"/>
              <w:left w:val="nil"/>
              <w:bottom w:val="single" w:sz="4" w:space="0" w:color="FFFFFF"/>
              <w:right w:val="single" w:sz="4" w:space="0" w:color="FFFFFF"/>
            </w:tcBorders>
            <w:shd w:val="clear" w:color="auto" w:fill="auto"/>
            <w:noWrap/>
            <w:vAlign w:val="bottom"/>
          </w:tcPr>
          <w:p w14:paraId="0EFDD30A" w14:textId="553E7A41" w:rsidR="00952870" w:rsidRPr="0088338F" w:rsidRDefault="00952870" w:rsidP="00A45FE4">
            <w:pPr>
              <w:jc w:val="right"/>
              <w:rPr>
                <w:rFonts w:ascii="Arial" w:hAnsi="Arial" w:cs="Arial"/>
                <w:sz w:val="18"/>
                <w:szCs w:val="18"/>
                <w:lang w:eastAsia="en-US"/>
              </w:rPr>
            </w:pPr>
            <w:r w:rsidRPr="0088338F">
              <w:rPr>
                <w:rFonts w:ascii="Arial" w:hAnsi="Arial" w:cs="Arial"/>
                <w:sz w:val="18"/>
                <w:szCs w:val="18"/>
                <w:lang w:eastAsia="en-US"/>
              </w:rPr>
              <w:t>477</w:t>
            </w:r>
          </w:p>
        </w:tc>
        <w:tc>
          <w:tcPr>
            <w:tcW w:w="1534" w:type="dxa"/>
            <w:tcBorders>
              <w:top w:val="nil"/>
              <w:left w:val="nil"/>
              <w:bottom w:val="single" w:sz="4" w:space="0" w:color="FFFFFF"/>
              <w:right w:val="single" w:sz="4" w:space="0" w:color="FFFFFF"/>
            </w:tcBorders>
            <w:shd w:val="clear" w:color="auto" w:fill="auto"/>
            <w:noWrap/>
            <w:vAlign w:val="bottom"/>
          </w:tcPr>
          <w:p w14:paraId="3A95EECA" w14:textId="63CDF6ED" w:rsidR="00952870" w:rsidRPr="0088338F" w:rsidRDefault="00952870" w:rsidP="00A45FE4">
            <w:pPr>
              <w:jc w:val="right"/>
              <w:rPr>
                <w:rFonts w:ascii="Arial" w:hAnsi="Arial" w:cs="Arial"/>
                <w:sz w:val="18"/>
                <w:szCs w:val="18"/>
                <w:lang w:eastAsia="en-US"/>
              </w:rPr>
            </w:pPr>
            <w:r w:rsidRPr="0088338F">
              <w:rPr>
                <w:rFonts w:ascii="Arial" w:hAnsi="Arial" w:cs="Arial"/>
                <w:sz w:val="18"/>
                <w:szCs w:val="18"/>
                <w:lang w:eastAsia="en-US"/>
              </w:rPr>
              <w:t>-</w:t>
            </w:r>
          </w:p>
        </w:tc>
        <w:tc>
          <w:tcPr>
            <w:tcW w:w="1442" w:type="dxa"/>
            <w:tcBorders>
              <w:top w:val="nil"/>
              <w:left w:val="nil"/>
              <w:bottom w:val="single" w:sz="4" w:space="0" w:color="FFFFFF"/>
              <w:right w:val="nil"/>
            </w:tcBorders>
            <w:vAlign w:val="bottom"/>
          </w:tcPr>
          <w:p w14:paraId="24F69227" w14:textId="23BE7FFE"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w:t>
            </w:r>
          </w:p>
        </w:tc>
        <w:tc>
          <w:tcPr>
            <w:tcW w:w="993" w:type="dxa"/>
            <w:tcBorders>
              <w:top w:val="nil"/>
              <w:left w:val="nil"/>
              <w:bottom w:val="single" w:sz="4" w:space="0" w:color="FFFFFF"/>
              <w:right w:val="single" w:sz="4" w:space="0" w:color="FFFFFF"/>
            </w:tcBorders>
            <w:shd w:val="clear" w:color="auto" w:fill="auto"/>
            <w:noWrap/>
            <w:vAlign w:val="bottom"/>
          </w:tcPr>
          <w:p w14:paraId="2251A2AF" w14:textId="7E3F7E9F"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w:t>
            </w:r>
          </w:p>
        </w:tc>
      </w:tr>
      <w:tr w:rsidR="00952870" w:rsidRPr="0088338F" w14:paraId="270A58F7" w14:textId="77777777" w:rsidTr="00952870">
        <w:trPr>
          <w:trHeight w:val="255"/>
        </w:trPr>
        <w:tc>
          <w:tcPr>
            <w:tcW w:w="2093" w:type="dxa"/>
            <w:tcBorders>
              <w:top w:val="nil"/>
              <w:left w:val="single" w:sz="4" w:space="0" w:color="FFFFFF"/>
              <w:bottom w:val="single" w:sz="4" w:space="0" w:color="FFFFFF"/>
              <w:right w:val="single" w:sz="4" w:space="0" w:color="FFFFFF"/>
            </w:tcBorders>
            <w:shd w:val="clear" w:color="auto" w:fill="auto"/>
            <w:vAlign w:val="bottom"/>
          </w:tcPr>
          <w:p w14:paraId="5654D566" w14:textId="6F65BA41" w:rsidR="00952870" w:rsidRPr="0088338F" w:rsidRDefault="00952870" w:rsidP="00A45FE4">
            <w:pPr>
              <w:rPr>
                <w:rFonts w:ascii="Arial" w:hAnsi="Arial" w:cs="Arial"/>
                <w:sz w:val="18"/>
                <w:szCs w:val="18"/>
                <w:lang w:eastAsia="en-US"/>
              </w:rPr>
            </w:pPr>
            <w:r w:rsidRPr="0088338F">
              <w:rPr>
                <w:rFonts w:ascii="Arial" w:hAnsi="Arial" w:cs="Arial"/>
                <w:sz w:val="18"/>
                <w:szCs w:val="18"/>
                <w:lang w:eastAsia="en-US"/>
              </w:rPr>
              <w:t>Súhrnný výsledok 2015</w:t>
            </w:r>
          </w:p>
        </w:tc>
        <w:tc>
          <w:tcPr>
            <w:tcW w:w="1010" w:type="dxa"/>
            <w:tcBorders>
              <w:top w:val="nil"/>
              <w:left w:val="nil"/>
              <w:bottom w:val="single" w:sz="4" w:space="0" w:color="FFFFFF"/>
              <w:right w:val="single" w:sz="4" w:space="0" w:color="FFFFFF"/>
            </w:tcBorders>
            <w:shd w:val="clear" w:color="auto" w:fill="auto"/>
            <w:noWrap/>
            <w:vAlign w:val="bottom"/>
          </w:tcPr>
          <w:p w14:paraId="0F8B931C" w14:textId="25836694" w:rsidR="00952870" w:rsidRPr="0088338F" w:rsidRDefault="00952870" w:rsidP="00A45FE4">
            <w:pPr>
              <w:jc w:val="right"/>
              <w:rPr>
                <w:rFonts w:ascii="Arial" w:hAnsi="Arial" w:cs="Arial"/>
                <w:sz w:val="18"/>
                <w:szCs w:val="18"/>
                <w:lang w:eastAsia="en-US"/>
              </w:rPr>
            </w:pPr>
            <w:r w:rsidRPr="0088338F">
              <w:rPr>
                <w:rFonts w:ascii="Arial" w:hAnsi="Arial" w:cs="Arial"/>
                <w:sz w:val="18"/>
                <w:szCs w:val="18"/>
                <w:lang w:eastAsia="en-US"/>
              </w:rPr>
              <w:t>-</w:t>
            </w:r>
          </w:p>
        </w:tc>
        <w:tc>
          <w:tcPr>
            <w:tcW w:w="1287" w:type="dxa"/>
            <w:tcBorders>
              <w:top w:val="nil"/>
              <w:left w:val="nil"/>
              <w:bottom w:val="single" w:sz="4" w:space="0" w:color="FFFFFF"/>
              <w:right w:val="single" w:sz="4" w:space="0" w:color="FFFFFF"/>
            </w:tcBorders>
            <w:shd w:val="clear" w:color="auto" w:fill="auto"/>
            <w:noWrap/>
            <w:vAlign w:val="bottom"/>
          </w:tcPr>
          <w:p w14:paraId="78973F9B" w14:textId="3977D775" w:rsidR="00952870" w:rsidRPr="0088338F" w:rsidRDefault="00952870" w:rsidP="00A45FE4">
            <w:pPr>
              <w:jc w:val="right"/>
              <w:rPr>
                <w:rFonts w:ascii="Arial" w:hAnsi="Arial" w:cs="Arial"/>
                <w:sz w:val="18"/>
                <w:szCs w:val="18"/>
                <w:lang w:eastAsia="en-US"/>
              </w:rPr>
            </w:pPr>
            <w:r w:rsidRPr="0088338F">
              <w:rPr>
                <w:rFonts w:ascii="Arial" w:hAnsi="Arial" w:cs="Arial"/>
                <w:sz w:val="18"/>
                <w:szCs w:val="18"/>
                <w:lang w:eastAsia="en-US"/>
              </w:rPr>
              <w:t>5 234</w:t>
            </w:r>
          </w:p>
        </w:tc>
        <w:tc>
          <w:tcPr>
            <w:tcW w:w="1134" w:type="dxa"/>
            <w:tcBorders>
              <w:top w:val="nil"/>
              <w:left w:val="nil"/>
              <w:bottom w:val="single" w:sz="4" w:space="0" w:color="FFFFFF"/>
              <w:right w:val="single" w:sz="4" w:space="0" w:color="FFFFFF"/>
            </w:tcBorders>
            <w:shd w:val="clear" w:color="auto" w:fill="auto"/>
            <w:noWrap/>
            <w:vAlign w:val="bottom"/>
          </w:tcPr>
          <w:p w14:paraId="5D70247A" w14:textId="77B95F33" w:rsidR="00952870" w:rsidRPr="0088338F" w:rsidRDefault="00952870" w:rsidP="00A45FE4">
            <w:pPr>
              <w:jc w:val="right"/>
              <w:rPr>
                <w:rFonts w:ascii="Arial" w:hAnsi="Arial" w:cs="Arial"/>
                <w:sz w:val="18"/>
                <w:szCs w:val="18"/>
                <w:lang w:eastAsia="en-US"/>
              </w:rPr>
            </w:pPr>
            <w:r w:rsidRPr="0088338F">
              <w:rPr>
                <w:rFonts w:ascii="Arial" w:hAnsi="Arial" w:cs="Arial"/>
                <w:sz w:val="18"/>
                <w:szCs w:val="18"/>
                <w:lang w:eastAsia="en-US"/>
              </w:rPr>
              <w:t>-</w:t>
            </w:r>
          </w:p>
        </w:tc>
        <w:tc>
          <w:tcPr>
            <w:tcW w:w="1534" w:type="dxa"/>
            <w:tcBorders>
              <w:top w:val="nil"/>
              <w:left w:val="nil"/>
              <w:bottom w:val="single" w:sz="4" w:space="0" w:color="FFFFFF"/>
              <w:right w:val="single" w:sz="4" w:space="0" w:color="FFFFFF"/>
            </w:tcBorders>
            <w:shd w:val="clear" w:color="auto" w:fill="auto"/>
            <w:noWrap/>
            <w:vAlign w:val="bottom"/>
          </w:tcPr>
          <w:p w14:paraId="3234503C" w14:textId="3F139E3B" w:rsidR="00952870" w:rsidRPr="0088338F" w:rsidRDefault="00952870" w:rsidP="00A45FE4">
            <w:pPr>
              <w:ind w:right="-57"/>
              <w:jc w:val="right"/>
              <w:rPr>
                <w:rFonts w:ascii="Arial" w:hAnsi="Arial" w:cs="Arial"/>
                <w:sz w:val="18"/>
                <w:szCs w:val="18"/>
                <w:lang w:eastAsia="en-US"/>
              </w:rPr>
            </w:pPr>
            <w:r w:rsidRPr="0088338F">
              <w:rPr>
                <w:rFonts w:ascii="Arial" w:hAnsi="Arial" w:cs="Arial"/>
                <w:sz w:val="18"/>
                <w:szCs w:val="18"/>
                <w:lang w:eastAsia="en-US"/>
              </w:rPr>
              <w:t>(759)</w:t>
            </w:r>
          </w:p>
        </w:tc>
        <w:tc>
          <w:tcPr>
            <w:tcW w:w="1442" w:type="dxa"/>
            <w:tcBorders>
              <w:top w:val="nil"/>
              <w:left w:val="nil"/>
              <w:bottom w:val="single" w:sz="4" w:space="0" w:color="FFFFFF"/>
              <w:right w:val="nil"/>
            </w:tcBorders>
          </w:tcPr>
          <w:p w14:paraId="1BF6E790" w14:textId="0BF2E522" w:rsidR="00952870" w:rsidRPr="0088338F" w:rsidRDefault="00952870" w:rsidP="00A45FE4">
            <w:pPr>
              <w:ind w:right="-57"/>
              <w:jc w:val="right"/>
              <w:rPr>
                <w:rFonts w:ascii="Arial" w:hAnsi="Arial" w:cs="Arial"/>
                <w:bCs/>
                <w:sz w:val="18"/>
                <w:szCs w:val="18"/>
                <w:lang w:eastAsia="en-US"/>
              </w:rPr>
            </w:pPr>
            <w:r w:rsidRPr="0088338F">
              <w:rPr>
                <w:rFonts w:ascii="Arial" w:hAnsi="Arial" w:cs="Arial"/>
                <w:bCs/>
                <w:sz w:val="18"/>
                <w:szCs w:val="18"/>
                <w:lang w:eastAsia="en-US"/>
              </w:rPr>
              <w:t>27</w:t>
            </w:r>
          </w:p>
        </w:tc>
        <w:tc>
          <w:tcPr>
            <w:tcW w:w="993" w:type="dxa"/>
            <w:tcBorders>
              <w:top w:val="nil"/>
              <w:left w:val="nil"/>
              <w:bottom w:val="single" w:sz="4" w:space="0" w:color="FFFFFF"/>
              <w:right w:val="single" w:sz="4" w:space="0" w:color="FFFFFF"/>
            </w:tcBorders>
            <w:shd w:val="clear" w:color="auto" w:fill="auto"/>
            <w:noWrap/>
            <w:vAlign w:val="bottom"/>
          </w:tcPr>
          <w:p w14:paraId="6A1E4A04" w14:textId="2715C576"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4 502</w:t>
            </w:r>
          </w:p>
        </w:tc>
      </w:tr>
      <w:tr w:rsidR="00952870" w:rsidRPr="0088338F" w14:paraId="19626C6E" w14:textId="77777777" w:rsidTr="00952870">
        <w:trPr>
          <w:trHeight w:val="255"/>
        </w:trPr>
        <w:tc>
          <w:tcPr>
            <w:tcW w:w="2093" w:type="dxa"/>
            <w:tcBorders>
              <w:top w:val="single" w:sz="4" w:space="0" w:color="FFFFFF"/>
              <w:left w:val="single" w:sz="4" w:space="0" w:color="FFFFFF"/>
              <w:bottom w:val="single" w:sz="12" w:space="0" w:color="auto"/>
              <w:right w:val="single" w:sz="4" w:space="0" w:color="FFFFFF"/>
            </w:tcBorders>
            <w:shd w:val="clear" w:color="auto" w:fill="auto"/>
            <w:vAlign w:val="bottom"/>
          </w:tcPr>
          <w:p w14:paraId="5303C995" w14:textId="394EA7F4" w:rsidR="00952870" w:rsidRPr="0088338F" w:rsidRDefault="00952870" w:rsidP="00A45FE4">
            <w:pPr>
              <w:rPr>
                <w:rFonts w:ascii="Arial" w:hAnsi="Arial" w:cs="Arial"/>
                <w:b/>
                <w:bCs/>
                <w:sz w:val="18"/>
                <w:szCs w:val="18"/>
                <w:lang w:eastAsia="en-US"/>
              </w:rPr>
            </w:pPr>
            <w:r w:rsidRPr="0088338F">
              <w:rPr>
                <w:rFonts w:ascii="Arial" w:hAnsi="Arial" w:cs="Arial"/>
                <w:b/>
                <w:bCs/>
                <w:sz w:val="18"/>
                <w:szCs w:val="18"/>
                <w:lang w:eastAsia="en-US"/>
              </w:rPr>
              <w:t>K 31. decembru 2015</w:t>
            </w:r>
          </w:p>
        </w:tc>
        <w:tc>
          <w:tcPr>
            <w:tcW w:w="1010" w:type="dxa"/>
            <w:tcBorders>
              <w:top w:val="single" w:sz="4" w:space="0" w:color="FFFFFF"/>
              <w:left w:val="nil"/>
              <w:bottom w:val="single" w:sz="12" w:space="0" w:color="auto"/>
              <w:right w:val="single" w:sz="4" w:space="0" w:color="FFFFFF"/>
            </w:tcBorders>
            <w:shd w:val="clear" w:color="auto" w:fill="auto"/>
            <w:noWrap/>
            <w:vAlign w:val="bottom"/>
          </w:tcPr>
          <w:p w14:paraId="53592867" w14:textId="797C3121"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25 121</w:t>
            </w:r>
          </w:p>
        </w:tc>
        <w:tc>
          <w:tcPr>
            <w:tcW w:w="1287" w:type="dxa"/>
            <w:tcBorders>
              <w:top w:val="single" w:sz="4" w:space="0" w:color="FFFFFF"/>
              <w:left w:val="nil"/>
              <w:bottom w:val="single" w:sz="12" w:space="0" w:color="auto"/>
              <w:right w:val="single" w:sz="4" w:space="0" w:color="FFFFFF"/>
            </w:tcBorders>
            <w:shd w:val="clear" w:color="auto" w:fill="auto"/>
            <w:noWrap/>
            <w:vAlign w:val="bottom"/>
          </w:tcPr>
          <w:p w14:paraId="1E6FD801" w14:textId="3CBE8657"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27 077</w:t>
            </w:r>
          </w:p>
        </w:tc>
        <w:tc>
          <w:tcPr>
            <w:tcW w:w="1134" w:type="dxa"/>
            <w:tcBorders>
              <w:top w:val="single" w:sz="4" w:space="0" w:color="FFFFFF"/>
              <w:left w:val="nil"/>
              <w:bottom w:val="single" w:sz="12" w:space="0" w:color="auto"/>
              <w:right w:val="single" w:sz="4" w:space="0" w:color="FFFFFF"/>
            </w:tcBorders>
            <w:shd w:val="clear" w:color="auto" w:fill="auto"/>
            <w:noWrap/>
            <w:vAlign w:val="bottom"/>
          </w:tcPr>
          <w:p w14:paraId="43BE5702" w14:textId="1FD0B32F"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4 692</w:t>
            </w:r>
          </w:p>
        </w:tc>
        <w:tc>
          <w:tcPr>
            <w:tcW w:w="1534" w:type="dxa"/>
            <w:tcBorders>
              <w:top w:val="single" w:sz="4" w:space="0" w:color="FFFFFF"/>
              <w:left w:val="nil"/>
              <w:bottom w:val="single" w:sz="12" w:space="0" w:color="auto"/>
              <w:right w:val="single" w:sz="4" w:space="0" w:color="FFFFFF"/>
            </w:tcBorders>
            <w:shd w:val="clear" w:color="auto" w:fill="auto"/>
            <w:noWrap/>
            <w:vAlign w:val="bottom"/>
          </w:tcPr>
          <w:p w14:paraId="781CCDDA" w14:textId="7CE4341D" w:rsidR="00952870" w:rsidRPr="0088338F" w:rsidRDefault="00952870" w:rsidP="00A45FE4">
            <w:pPr>
              <w:ind w:right="-57"/>
              <w:jc w:val="right"/>
              <w:rPr>
                <w:rFonts w:ascii="Arial" w:hAnsi="Arial" w:cs="Arial"/>
                <w:b/>
                <w:bCs/>
                <w:sz w:val="18"/>
                <w:szCs w:val="18"/>
                <w:lang w:eastAsia="en-US"/>
              </w:rPr>
            </w:pPr>
            <w:r w:rsidRPr="0088338F">
              <w:rPr>
                <w:rFonts w:ascii="Arial" w:hAnsi="Arial" w:cs="Arial"/>
                <w:b/>
                <w:bCs/>
                <w:sz w:val="18"/>
                <w:szCs w:val="18"/>
                <w:lang w:eastAsia="en-US"/>
              </w:rPr>
              <w:t>2 300</w:t>
            </w:r>
          </w:p>
        </w:tc>
        <w:tc>
          <w:tcPr>
            <w:tcW w:w="1442" w:type="dxa"/>
            <w:tcBorders>
              <w:top w:val="single" w:sz="4" w:space="0" w:color="FFFFFF"/>
              <w:left w:val="nil"/>
              <w:bottom w:val="single" w:sz="12" w:space="0" w:color="auto"/>
              <w:right w:val="nil"/>
            </w:tcBorders>
            <w:vAlign w:val="bottom"/>
          </w:tcPr>
          <w:p w14:paraId="04121424" w14:textId="586A782A" w:rsidR="00952870" w:rsidRPr="0088338F" w:rsidRDefault="00952870" w:rsidP="00A45FE4">
            <w:pPr>
              <w:ind w:right="-57"/>
              <w:jc w:val="right"/>
              <w:rPr>
                <w:rFonts w:ascii="Arial" w:hAnsi="Arial" w:cs="Arial"/>
                <w:b/>
                <w:bCs/>
                <w:sz w:val="18"/>
                <w:szCs w:val="18"/>
                <w:lang w:eastAsia="en-US"/>
              </w:rPr>
            </w:pPr>
            <w:r w:rsidRPr="0088338F">
              <w:rPr>
                <w:rFonts w:ascii="Arial" w:hAnsi="Arial" w:cs="Arial"/>
                <w:b/>
                <w:bCs/>
                <w:sz w:val="18"/>
                <w:szCs w:val="18"/>
                <w:lang w:eastAsia="en-US"/>
              </w:rPr>
              <w:t>(150)</w:t>
            </w:r>
          </w:p>
        </w:tc>
        <w:tc>
          <w:tcPr>
            <w:tcW w:w="993" w:type="dxa"/>
            <w:tcBorders>
              <w:top w:val="single" w:sz="4" w:space="0" w:color="FFFFFF"/>
              <w:left w:val="nil"/>
              <w:bottom w:val="single" w:sz="12" w:space="0" w:color="auto"/>
              <w:right w:val="single" w:sz="4" w:space="0" w:color="FFFFFF"/>
            </w:tcBorders>
            <w:shd w:val="clear" w:color="auto" w:fill="auto"/>
            <w:noWrap/>
            <w:vAlign w:val="bottom"/>
          </w:tcPr>
          <w:p w14:paraId="449B6AF1" w14:textId="5A3CB104" w:rsidR="00952870" w:rsidRPr="0088338F" w:rsidRDefault="00952870" w:rsidP="00A45FE4">
            <w:pPr>
              <w:jc w:val="right"/>
              <w:rPr>
                <w:rFonts w:ascii="Arial" w:hAnsi="Arial" w:cs="Arial"/>
                <w:b/>
                <w:bCs/>
                <w:sz w:val="18"/>
                <w:szCs w:val="18"/>
                <w:lang w:eastAsia="en-US"/>
              </w:rPr>
            </w:pPr>
            <w:r w:rsidRPr="0088338F">
              <w:rPr>
                <w:rFonts w:ascii="Arial" w:hAnsi="Arial" w:cs="Arial"/>
                <w:b/>
                <w:bCs/>
                <w:sz w:val="18"/>
                <w:szCs w:val="18"/>
                <w:lang w:eastAsia="en-US"/>
              </w:rPr>
              <w:t>59 040</w:t>
            </w:r>
          </w:p>
        </w:tc>
      </w:tr>
    </w:tbl>
    <w:p w14:paraId="6FE6795F" w14:textId="77777777" w:rsidR="00E13237" w:rsidRPr="0088338F" w:rsidRDefault="00E13237" w:rsidP="003813E0">
      <w:pPr>
        <w:jc w:val="both"/>
        <w:rPr>
          <w:rFonts w:ascii="Arial" w:hAnsi="Arial" w:cs="Arial"/>
          <w:sz w:val="20"/>
          <w:szCs w:val="20"/>
        </w:rPr>
      </w:pPr>
    </w:p>
    <w:p w14:paraId="77CB214D" w14:textId="318882B4" w:rsidR="003813E0" w:rsidRPr="0088338F" w:rsidRDefault="003813E0" w:rsidP="003813E0">
      <w:pPr>
        <w:jc w:val="both"/>
        <w:rPr>
          <w:rFonts w:ascii="Arial" w:hAnsi="Arial" w:cs="Arial"/>
          <w:sz w:val="20"/>
          <w:szCs w:val="20"/>
        </w:rPr>
      </w:pPr>
      <w:r w:rsidRPr="0088338F">
        <w:rPr>
          <w:rFonts w:ascii="Arial" w:hAnsi="Arial" w:cs="Arial"/>
          <w:sz w:val="20"/>
          <w:szCs w:val="20"/>
        </w:rPr>
        <w:t xml:space="preserve">Poznámky na stranách </w:t>
      </w:r>
      <w:r w:rsidR="00327938" w:rsidRPr="0088338F">
        <w:rPr>
          <w:rFonts w:ascii="Arial" w:hAnsi="Arial" w:cs="Arial"/>
          <w:sz w:val="20"/>
          <w:szCs w:val="20"/>
        </w:rPr>
        <w:t xml:space="preserve">12 až </w:t>
      </w:r>
      <w:r w:rsidR="00327938" w:rsidRPr="0088338F">
        <w:rPr>
          <w:rStyle w:val="PageNumber"/>
          <w:rFonts w:ascii="Arial" w:hAnsi="Arial" w:cs="Arial"/>
          <w:sz w:val="20"/>
          <w:szCs w:val="20"/>
        </w:rPr>
        <w:t xml:space="preserve">76 </w:t>
      </w:r>
      <w:r w:rsidRPr="0088338F">
        <w:rPr>
          <w:rStyle w:val="PageNumber"/>
          <w:rFonts w:ascii="Arial" w:hAnsi="Arial" w:cs="Arial"/>
          <w:sz w:val="20"/>
          <w:szCs w:val="20"/>
        </w:rPr>
        <w:t>sú súčasťou tejto účtovnej závierky</w:t>
      </w:r>
      <w:r w:rsidR="00DC32CA" w:rsidRPr="0088338F">
        <w:rPr>
          <w:rStyle w:val="PageNumber"/>
          <w:rFonts w:ascii="Arial" w:hAnsi="Arial" w:cs="Arial"/>
          <w:sz w:val="20"/>
          <w:szCs w:val="20"/>
        </w:rPr>
        <w:t>.</w:t>
      </w:r>
    </w:p>
    <w:p w14:paraId="46C98779" w14:textId="77777777" w:rsidR="003813E0" w:rsidRPr="0088338F" w:rsidRDefault="003813E0" w:rsidP="003813E0">
      <w:pPr>
        <w:jc w:val="both"/>
        <w:rPr>
          <w:rFonts w:ascii="Arial" w:hAnsi="Arial" w:cs="Arial"/>
          <w:sz w:val="20"/>
          <w:szCs w:val="20"/>
        </w:rPr>
      </w:pPr>
    </w:p>
    <w:p w14:paraId="3C5F1A94" w14:textId="77777777" w:rsidR="003D6945" w:rsidRPr="0088338F" w:rsidRDefault="003D6945" w:rsidP="00CD4D1E">
      <w:pPr>
        <w:jc w:val="both"/>
        <w:rPr>
          <w:rFonts w:ascii="Arial" w:hAnsi="Arial" w:cs="Arial"/>
          <w:sz w:val="20"/>
          <w:szCs w:val="20"/>
        </w:rPr>
      </w:pPr>
    </w:p>
    <w:p w14:paraId="278B6FA4" w14:textId="77777777" w:rsidR="003D6945" w:rsidRPr="0088338F" w:rsidRDefault="003D6945" w:rsidP="00CD4D1E">
      <w:pPr>
        <w:jc w:val="both"/>
        <w:rPr>
          <w:rFonts w:ascii="Arial" w:hAnsi="Arial" w:cs="Arial"/>
          <w:sz w:val="20"/>
          <w:szCs w:val="20"/>
        </w:rPr>
        <w:sectPr w:rsidR="003D6945" w:rsidRPr="0088338F">
          <w:headerReference w:type="default" r:id="rId21"/>
          <w:pgSz w:w="11906" w:h="16838"/>
          <w:pgMar w:top="1417" w:right="1417" w:bottom="1417" w:left="1417" w:header="708" w:footer="708" w:gutter="0"/>
          <w:cols w:space="708"/>
          <w:docGrid w:linePitch="360"/>
        </w:sectPr>
      </w:pPr>
    </w:p>
    <w:p w14:paraId="2B46B22F" w14:textId="77777777" w:rsidR="00410E96" w:rsidRPr="0088338F" w:rsidRDefault="00410E96" w:rsidP="00885CDA">
      <w:pPr>
        <w:jc w:val="center"/>
        <w:rPr>
          <w:szCs w:val="20"/>
        </w:rPr>
      </w:pPr>
    </w:p>
    <w:tbl>
      <w:tblPr>
        <w:tblW w:w="9269" w:type="dxa"/>
        <w:tblInd w:w="103" w:type="dxa"/>
        <w:tblLook w:val="04A0" w:firstRow="1" w:lastRow="0" w:firstColumn="1" w:lastColumn="0" w:noHBand="0" w:noVBand="1"/>
      </w:tblPr>
      <w:tblGrid>
        <w:gridCol w:w="6052"/>
        <w:gridCol w:w="739"/>
        <w:gridCol w:w="1239"/>
        <w:gridCol w:w="1239"/>
      </w:tblGrid>
      <w:tr w:rsidR="00410E96" w:rsidRPr="0088338F" w14:paraId="1AFF03D8" w14:textId="77777777" w:rsidTr="00AE23E4">
        <w:trPr>
          <w:trHeight w:val="510"/>
        </w:trPr>
        <w:tc>
          <w:tcPr>
            <w:tcW w:w="6052" w:type="dxa"/>
            <w:tcBorders>
              <w:top w:val="single" w:sz="12" w:space="0" w:color="auto"/>
              <w:left w:val="single" w:sz="4" w:space="0" w:color="FFFFFF"/>
              <w:bottom w:val="single" w:sz="4" w:space="0" w:color="auto"/>
              <w:right w:val="single" w:sz="4" w:space="0" w:color="FFFFFF"/>
            </w:tcBorders>
            <w:shd w:val="clear" w:color="auto" w:fill="auto"/>
            <w:noWrap/>
            <w:vAlign w:val="bottom"/>
          </w:tcPr>
          <w:p w14:paraId="522E731D" w14:textId="77777777" w:rsidR="00410E96" w:rsidRPr="0088338F" w:rsidRDefault="00410E96" w:rsidP="00410E96">
            <w:pPr>
              <w:rPr>
                <w:rFonts w:ascii="Arial" w:hAnsi="Arial" w:cs="Arial"/>
                <w:b/>
                <w:bCs/>
                <w:sz w:val="20"/>
                <w:szCs w:val="20"/>
                <w:lang w:eastAsia="en-US"/>
              </w:rPr>
            </w:pPr>
            <w:bookmarkStart w:id="3" w:name="RANGE!A2:D35"/>
            <w:r w:rsidRPr="0088338F">
              <w:rPr>
                <w:rFonts w:ascii="Arial" w:hAnsi="Arial" w:cs="Arial"/>
                <w:b/>
                <w:bCs/>
                <w:sz w:val="20"/>
                <w:szCs w:val="20"/>
                <w:lang w:eastAsia="en-US"/>
              </w:rPr>
              <w:t> </w:t>
            </w:r>
            <w:bookmarkEnd w:id="3"/>
          </w:p>
        </w:tc>
        <w:tc>
          <w:tcPr>
            <w:tcW w:w="739" w:type="dxa"/>
            <w:tcBorders>
              <w:top w:val="single" w:sz="12" w:space="0" w:color="auto"/>
              <w:left w:val="nil"/>
              <w:bottom w:val="single" w:sz="4" w:space="0" w:color="auto"/>
              <w:right w:val="single" w:sz="4" w:space="0" w:color="FFFFFF"/>
            </w:tcBorders>
            <w:shd w:val="clear" w:color="auto" w:fill="auto"/>
            <w:vAlign w:val="bottom"/>
          </w:tcPr>
          <w:p w14:paraId="5B0308A9" w14:textId="77777777" w:rsidR="00410E96" w:rsidRPr="0088338F" w:rsidRDefault="00410E96" w:rsidP="00A45FE4">
            <w:pPr>
              <w:jc w:val="center"/>
              <w:rPr>
                <w:rFonts w:ascii="Arial" w:hAnsi="Arial" w:cs="Arial"/>
                <w:b/>
                <w:bCs/>
                <w:sz w:val="20"/>
                <w:szCs w:val="20"/>
                <w:lang w:eastAsia="en-US"/>
              </w:rPr>
            </w:pPr>
            <w:r w:rsidRPr="0088338F">
              <w:rPr>
                <w:rFonts w:ascii="Arial" w:hAnsi="Arial" w:cs="Arial"/>
                <w:b/>
                <w:bCs/>
                <w:sz w:val="20"/>
                <w:szCs w:val="20"/>
                <w:lang w:eastAsia="en-US"/>
              </w:rPr>
              <w:t>Bod.</w:t>
            </w:r>
            <w:r w:rsidRPr="0088338F">
              <w:rPr>
                <w:rFonts w:ascii="Arial" w:hAnsi="Arial" w:cs="Arial"/>
                <w:b/>
                <w:bCs/>
                <w:sz w:val="20"/>
                <w:szCs w:val="20"/>
                <w:lang w:eastAsia="en-US"/>
              </w:rPr>
              <w:br/>
              <w:t>pozn.</w:t>
            </w:r>
          </w:p>
        </w:tc>
        <w:tc>
          <w:tcPr>
            <w:tcW w:w="1239" w:type="dxa"/>
            <w:tcBorders>
              <w:top w:val="single" w:sz="12" w:space="0" w:color="auto"/>
              <w:left w:val="nil"/>
              <w:bottom w:val="single" w:sz="4" w:space="0" w:color="auto"/>
              <w:right w:val="single" w:sz="4" w:space="0" w:color="FFFFFF"/>
            </w:tcBorders>
            <w:shd w:val="clear" w:color="auto" w:fill="auto"/>
            <w:vAlign w:val="bottom"/>
          </w:tcPr>
          <w:p w14:paraId="1E700F2B" w14:textId="6FCA50B8" w:rsidR="00410E96" w:rsidRPr="0088338F" w:rsidRDefault="00410E96" w:rsidP="00E21CF0">
            <w:pPr>
              <w:jc w:val="right"/>
              <w:rPr>
                <w:rFonts w:ascii="Arial" w:hAnsi="Arial" w:cs="Arial"/>
                <w:b/>
                <w:bCs/>
                <w:sz w:val="20"/>
                <w:szCs w:val="20"/>
                <w:lang w:eastAsia="en-US"/>
              </w:rPr>
            </w:pPr>
            <w:r w:rsidRPr="0088338F">
              <w:rPr>
                <w:rFonts w:ascii="Arial" w:hAnsi="Arial" w:cs="Arial"/>
                <w:b/>
                <w:bCs/>
                <w:sz w:val="20"/>
                <w:szCs w:val="20"/>
                <w:lang w:eastAsia="en-US"/>
              </w:rPr>
              <w:t>20</w:t>
            </w:r>
            <w:r w:rsidR="00AE23E4" w:rsidRPr="0088338F">
              <w:rPr>
                <w:rFonts w:ascii="Arial" w:hAnsi="Arial" w:cs="Arial"/>
                <w:b/>
                <w:bCs/>
                <w:sz w:val="20"/>
                <w:szCs w:val="20"/>
                <w:lang w:eastAsia="en-US"/>
              </w:rPr>
              <w:t>1</w:t>
            </w:r>
            <w:r w:rsidR="00E21CF0" w:rsidRPr="0088338F">
              <w:rPr>
                <w:rFonts w:ascii="Arial" w:hAnsi="Arial" w:cs="Arial"/>
                <w:b/>
                <w:bCs/>
                <w:sz w:val="20"/>
                <w:szCs w:val="20"/>
                <w:lang w:eastAsia="en-US"/>
              </w:rPr>
              <w:t>6</w:t>
            </w:r>
            <w:r w:rsidRPr="0088338F">
              <w:rPr>
                <w:rFonts w:ascii="Arial" w:hAnsi="Arial" w:cs="Arial"/>
                <w:b/>
                <w:bCs/>
                <w:sz w:val="20"/>
                <w:szCs w:val="20"/>
                <w:lang w:eastAsia="en-US"/>
              </w:rPr>
              <w:br/>
              <w:t xml:space="preserve">tis. </w:t>
            </w:r>
            <w:r w:rsidR="00644FA3" w:rsidRPr="0088338F">
              <w:rPr>
                <w:rFonts w:ascii="Arial" w:hAnsi="Arial" w:cs="Arial"/>
                <w:b/>
                <w:bCs/>
                <w:sz w:val="20"/>
                <w:szCs w:val="20"/>
                <w:lang w:eastAsia="en-US"/>
              </w:rPr>
              <w:t>EUR</w:t>
            </w:r>
          </w:p>
        </w:tc>
        <w:tc>
          <w:tcPr>
            <w:tcW w:w="1239" w:type="dxa"/>
            <w:tcBorders>
              <w:top w:val="single" w:sz="12" w:space="0" w:color="auto"/>
              <w:left w:val="nil"/>
              <w:bottom w:val="single" w:sz="4" w:space="0" w:color="auto"/>
              <w:right w:val="single" w:sz="4" w:space="0" w:color="FFFFFF"/>
            </w:tcBorders>
            <w:shd w:val="clear" w:color="auto" w:fill="auto"/>
            <w:vAlign w:val="bottom"/>
          </w:tcPr>
          <w:p w14:paraId="4C029AF2" w14:textId="4FB255A6" w:rsidR="00410E96" w:rsidRPr="0088338F" w:rsidRDefault="00410E96" w:rsidP="00E21CF0">
            <w:pPr>
              <w:jc w:val="right"/>
              <w:rPr>
                <w:rFonts w:ascii="Arial" w:hAnsi="Arial" w:cs="Arial"/>
                <w:b/>
                <w:bCs/>
                <w:sz w:val="20"/>
                <w:szCs w:val="20"/>
                <w:lang w:eastAsia="en-US"/>
              </w:rPr>
            </w:pPr>
            <w:r w:rsidRPr="0088338F">
              <w:rPr>
                <w:rFonts w:ascii="Arial" w:hAnsi="Arial" w:cs="Arial"/>
                <w:b/>
                <w:bCs/>
                <w:sz w:val="20"/>
                <w:szCs w:val="20"/>
                <w:lang w:eastAsia="en-US"/>
              </w:rPr>
              <w:t>20</w:t>
            </w:r>
            <w:r w:rsidR="002B5A2E" w:rsidRPr="0088338F">
              <w:rPr>
                <w:rFonts w:ascii="Arial" w:hAnsi="Arial" w:cs="Arial"/>
                <w:b/>
                <w:bCs/>
                <w:sz w:val="20"/>
                <w:szCs w:val="20"/>
                <w:lang w:eastAsia="en-US"/>
              </w:rPr>
              <w:t>1</w:t>
            </w:r>
            <w:r w:rsidR="00E21CF0" w:rsidRPr="0088338F">
              <w:rPr>
                <w:rFonts w:ascii="Arial" w:hAnsi="Arial" w:cs="Arial"/>
                <w:b/>
                <w:bCs/>
                <w:sz w:val="20"/>
                <w:szCs w:val="20"/>
                <w:lang w:eastAsia="en-US"/>
              </w:rPr>
              <w:t>5</w:t>
            </w:r>
            <w:r w:rsidRPr="0088338F">
              <w:rPr>
                <w:rFonts w:ascii="Arial" w:hAnsi="Arial" w:cs="Arial"/>
                <w:b/>
                <w:bCs/>
                <w:sz w:val="20"/>
                <w:szCs w:val="20"/>
                <w:lang w:eastAsia="en-US"/>
              </w:rPr>
              <w:br/>
              <w:t xml:space="preserve">tis. </w:t>
            </w:r>
            <w:r w:rsidR="00644FA3" w:rsidRPr="0088338F">
              <w:rPr>
                <w:rFonts w:ascii="Arial" w:hAnsi="Arial" w:cs="Arial"/>
                <w:b/>
                <w:bCs/>
                <w:sz w:val="20"/>
                <w:szCs w:val="20"/>
                <w:lang w:eastAsia="en-US"/>
              </w:rPr>
              <w:t>EUR</w:t>
            </w:r>
          </w:p>
        </w:tc>
      </w:tr>
      <w:tr w:rsidR="00410E96" w:rsidRPr="0088338F" w14:paraId="69B9B88E" w14:textId="77777777">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44432559" w14:textId="77777777" w:rsidR="00410E96" w:rsidRPr="0088338F" w:rsidRDefault="00410E96" w:rsidP="00410E96">
            <w:pPr>
              <w:rPr>
                <w:rFonts w:ascii="Arial" w:hAnsi="Arial" w:cs="Arial"/>
                <w:sz w:val="20"/>
                <w:szCs w:val="20"/>
                <w:lang w:eastAsia="en-US"/>
              </w:rPr>
            </w:pPr>
            <w:r w:rsidRPr="0088338F">
              <w:rPr>
                <w:rFonts w:ascii="Arial" w:hAnsi="Arial" w:cs="Arial"/>
                <w:sz w:val="20"/>
                <w:szCs w:val="20"/>
                <w:lang w:eastAsia="en-US"/>
              </w:rPr>
              <w:t> </w:t>
            </w:r>
          </w:p>
        </w:tc>
        <w:tc>
          <w:tcPr>
            <w:tcW w:w="739" w:type="dxa"/>
            <w:tcBorders>
              <w:top w:val="nil"/>
              <w:left w:val="nil"/>
              <w:bottom w:val="single" w:sz="4" w:space="0" w:color="FFFFFF"/>
              <w:right w:val="single" w:sz="4" w:space="0" w:color="FFFFFF"/>
            </w:tcBorders>
            <w:shd w:val="clear" w:color="auto" w:fill="auto"/>
            <w:noWrap/>
            <w:vAlign w:val="bottom"/>
          </w:tcPr>
          <w:p w14:paraId="5EFCA3CB" w14:textId="77777777" w:rsidR="00410E96" w:rsidRPr="0088338F" w:rsidRDefault="00410E96"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1D248222" w14:textId="77777777" w:rsidR="00410E96" w:rsidRPr="0088338F" w:rsidRDefault="00410E96" w:rsidP="00410E96">
            <w:pPr>
              <w:rPr>
                <w:rFonts w:ascii="Arial" w:hAnsi="Arial" w:cs="Arial"/>
                <w:sz w:val="20"/>
                <w:szCs w:val="20"/>
                <w:lang w:eastAsia="en-US"/>
              </w:rPr>
            </w:pPr>
            <w:r w:rsidRPr="0088338F">
              <w:rPr>
                <w:rFonts w:ascii="Arial" w:hAnsi="Arial" w:cs="Arial"/>
                <w:sz w:val="20"/>
                <w:szCs w:val="20"/>
                <w:lang w:eastAsia="en-US"/>
              </w:rPr>
              <w:t> </w:t>
            </w:r>
          </w:p>
        </w:tc>
        <w:tc>
          <w:tcPr>
            <w:tcW w:w="1239" w:type="dxa"/>
            <w:tcBorders>
              <w:top w:val="nil"/>
              <w:left w:val="nil"/>
              <w:bottom w:val="single" w:sz="4" w:space="0" w:color="FFFFFF"/>
              <w:right w:val="single" w:sz="4" w:space="0" w:color="FFFFFF"/>
            </w:tcBorders>
            <w:shd w:val="clear" w:color="auto" w:fill="auto"/>
            <w:noWrap/>
            <w:vAlign w:val="bottom"/>
          </w:tcPr>
          <w:p w14:paraId="1CA10E99" w14:textId="77777777" w:rsidR="00410E96" w:rsidRPr="0088338F" w:rsidRDefault="00410E96" w:rsidP="00410E96">
            <w:pPr>
              <w:rPr>
                <w:rFonts w:ascii="Arial" w:hAnsi="Arial" w:cs="Arial"/>
                <w:sz w:val="20"/>
                <w:szCs w:val="20"/>
                <w:lang w:eastAsia="en-US"/>
              </w:rPr>
            </w:pPr>
            <w:r w:rsidRPr="0088338F">
              <w:rPr>
                <w:rFonts w:ascii="Arial" w:hAnsi="Arial" w:cs="Arial"/>
                <w:sz w:val="20"/>
                <w:szCs w:val="20"/>
                <w:lang w:eastAsia="en-US"/>
              </w:rPr>
              <w:t> </w:t>
            </w:r>
          </w:p>
        </w:tc>
      </w:tr>
      <w:tr w:rsidR="00410E96" w:rsidRPr="0088338F" w14:paraId="03E8AC06" w14:textId="77777777">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14EA098A" w14:textId="77777777" w:rsidR="00410E96" w:rsidRPr="0088338F" w:rsidRDefault="00410E96" w:rsidP="00410E96">
            <w:pPr>
              <w:rPr>
                <w:rFonts w:ascii="Arial" w:hAnsi="Arial" w:cs="Arial"/>
                <w:b/>
                <w:bCs/>
                <w:sz w:val="20"/>
                <w:szCs w:val="20"/>
                <w:lang w:eastAsia="en-US"/>
              </w:rPr>
            </w:pPr>
            <w:r w:rsidRPr="0088338F">
              <w:rPr>
                <w:rFonts w:ascii="Arial" w:hAnsi="Arial" w:cs="Arial"/>
                <w:b/>
                <w:bCs/>
                <w:sz w:val="20"/>
                <w:szCs w:val="20"/>
                <w:lang w:eastAsia="en-US"/>
              </w:rPr>
              <w:t>Peňažné toky z prevádzkových činností</w:t>
            </w:r>
          </w:p>
        </w:tc>
        <w:tc>
          <w:tcPr>
            <w:tcW w:w="739" w:type="dxa"/>
            <w:tcBorders>
              <w:top w:val="nil"/>
              <w:left w:val="nil"/>
              <w:bottom w:val="single" w:sz="4" w:space="0" w:color="FFFFFF"/>
              <w:right w:val="single" w:sz="4" w:space="0" w:color="FFFFFF"/>
            </w:tcBorders>
            <w:shd w:val="clear" w:color="auto" w:fill="auto"/>
            <w:noWrap/>
            <w:vAlign w:val="bottom"/>
          </w:tcPr>
          <w:p w14:paraId="717CA076" w14:textId="77777777" w:rsidR="00410E96" w:rsidRPr="0088338F" w:rsidRDefault="00410E96"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5524CAF3" w14:textId="77777777" w:rsidR="00410E96" w:rsidRPr="0088338F" w:rsidRDefault="00410E96" w:rsidP="00410E96">
            <w:pPr>
              <w:rPr>
                <w:rFonts w:ascii="Arial" w:hAnsi="Arial" w:cs="Arial"/>
                <w:sz w:val="20"/>
                <w:szCs w:val="20"/>
                <w:lang w:eastAsia="en-US"/>
              </w:rPr>
            </w:pPr>
            <w:r w:rsidRPr="0088338F">
              <w:rPr>
                <w:rFonts w:ascii="Arial" w:hAnsi="Arial" w:cs="Arial"/>
                <w:sz w:val="20"/>
                <w:szCs w:val="20"/>
                <w:lang w:eastAsia="en-US"/>
              </w:rPr>
              <w:t> </w:t>
            </w:r>
          </w:p>
        </w:tc>
        <w:tc>
          <w:tcPr>
            <w:tcW w:w="1239" w:type="dxa"/>
            <w:tcBorders>
              <w:top w:val="nil"/>
              <w:left w:val="nil"/>
              <w:bottom w:val="single" w:sz="4" w:space="0" w:color="FFFFFF"/>
              <w:right w:val="single" w:sz="4" w:space="0" w:color="FFFFFF"/>
            </w:tcBorders>
            <w:shd w:val="clear" w:color="auto" w:fill="auto"/>
            <w:noWrap/>
            <w:vAlign w:val="bottom"/>
          </w:tcPr>
          <w:p w14:paraId="7F8A9E52" w14:textId="77777777" w:rsidR="00410E96" w:rsidRPr="0088338F" w:rsidRDefault="00410E96" w:rsidP="00410E96">
            <w:pPr>
              <w:rPr>
                <w:rFonts w:ascii="Arial" w:hAnsi="Arial" w:cs="Arial"/>
                <w:sz w:val="20"/>
                <w:szCs w:val="20"/>
                <w:lang w:eastAsia="en-US"/>
              </w:rPr>
            </w:pPr>
            <w:r w:rsidRPr="0088338F">
              <w:rPr>
                <w:rFonts w:ascii="Arial" w:hAnsi="Arial" w:cs="Arial"/>
                <w:sz w:val="20"/>
                <w:szCs w:val="20"/>
                <w:lang w:eastAsia="en-US"/>
              </w:rPr>
              <w:t> </w:t>
            </w:r>
          </w:p>
        </w:tc>
      </w:tr>
      <w:tr w:rsidR="00E21CF0" w:rsidRPr="0088338F" w14:paraId="09BF3FDA" w14:textId="77777777" w:rsidTr="002B3BCE">
        <w:trPr>
          <w:trHeight w:val="510"/>
        </w:trPr>
        <w:tc>
          <w:tcPr>
            <w:tcW w:w="6052" w:type="dxa"/>
            <w:tcBorders>
              <w:top w:val="nil"/>
              <w:left w:val="single" w:sz="4" w:space="0" w:color="FFFFFF"/>
              <w:bottom w:val="single" w:sz="4" w:space="0" w:color="FFFFFF"/>
              <w:right w:val="single" w:sz="4" w:space="0" w:color="FFFFFF"/>
            </w:tcBorders>
            <w:shd w:val="clear" w:color="auto" w:fill="auto"/>
            <w:vAlign w:val="bottom"/>
          </w:tcPr>
          <w:p w14:paraId="101C1BF4"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Zisk pred zmenami v prevádzkových aktívach a záväzkoch</w:t>
            </w:r>
          </w:p>
        </w:tc>
        <w:tc>
          <w:tcPr>
            <w:tcW w:w="739" w:type="dxa"/>
            <w:tcBorders>
              <w:top w:val="nil"/>
              <w:left w:val="nil"/>
              <w:bottom w:val="single" w:sz="4" w:space="0" w:color="FFFFFF"/>
              <w:right w:val="single" w:sz="4" w:space="0" w:color="FFFFFF"/>
            </w:tcBorders>
            <w:shd w:val="clear" w:color="auto" w:fill="auto"/>
            <w:noWrap/>
            <w:vAlign w:val="bottom"/>
          </w:tcPr>
          <w:p w14:paraId="216914D8" w14:textId="77777777" w:rsidR="00E21CF0" w:rsidRPr="0088338F" w:rsidRDefault="00E21CF0" w:rsidP="00A45FE4">
            <w:pPr>
              <w:jc w:val="center"/>
              <w:rPr>
                <w:rFonts w:ascii="Arial" w:hAnsi="Arial" w:cs="Arial"/>
                <w:sz w:val="20"/>
                <w:szCs w:val="20"/>
                <w:lang w:eastAsia="en-US"/>
              </w:rPr>
            </w:pPr>
            <w:r w:rsidRPr="0088338F">
              <w:rPr>
                <w:rFonts w:ascii="Arial" w:hAnsi="Arial" w:cs="Arial"/>
                <w:sz w:val="20"/>
                <w:szCs w:val="20"/>
                <w:lang w:eastAsia="en-US"/>
              </w:rPr>
              <w:t>33.</w:t>
            </w:r>
          </w:p>
        </w:tc>
        <w:tc>
          <w:tcPr>
            <w:tcW w:w="1239" w:type="dxa"/>
            <w:tcBorders>
              <w:top w:val="nil"/>
              <w:left w:val="nil"/>
              <w:bottom w:val="single" w:sz="4" w:space="0" w:color="FFFFFF"/>
              <w:right w:val="single" w:sz="4" w:space="0" w:color="FFFFFF"/>
            </w:tcBorders>
            <w:shd w:val="clear" w:color="auto" w:fill="auto"/>
            <w:noWrap/>
            <w:vAlign w:val="bottom"/>
          </w:tcPr>
          <w:p w14:paraId="57515498" w14:textId="07A9ED0E" w:rsidR="00E21CF0" w:rsidRPr="0088338F" w:rsidRDefault="00E92145" w:rsidP="00A45FE4">
            <w:pPr>
              <w:jc w:val="right"/>
              <w:rPr>
                <w:rFonts w:ascii="Arial" w:hAnsi="Arial" w:cs="Arial"/>
                <w:sz w:val="20"/>
                <w:szCs w:val="20"/>
                <w:lang w:eastAsia="en-US"/>
              </w:rPr>
            </w:pPr>
            <w:r w:rsidRPr="0088338F">
              <w:rPr>
                <w:rFonts w:ascii="Arial" w:hAnsi="Arial" w:cs="Arial"/>
                <w:sz w:val="20"/>
                <w:szCs w:val="20"/>
                <w:lang w:eastAsia="en-US"/>
              </w:rPr>
              <w:t>12 989</w:t>
            </w:r>
          </w:p>
        </w:tc>
        <w:tc>
          <w:tcPr>
            <w:tcW w:w="1239" w:type="dxa"/>
            <w:tcBorders>
              <w:top w:val="nil"/>
              <w:left w:val="nil"/>
              <w:bottom w:val="single" w:sz="4" w:space="0" w:color="FFFFFF"/>
              <w:right w:val="single" w:sz="4" w:space="0" w:color="FFFFFF"/>
            </w:tcBorders>
            <w:shd w:val="clear" w:color="auto" w:fill="auto"/>
            <w:noWrap/>
            <w:vAlign w:val="bottom"/>
          </w:tcPr>
          <w:p w14:paraId="662738E9" w14:textId="4F9DD264" w:rsidR="00E21CF0" w:rsidRPr="0088338F" w:rsidRDefault="00E21CF0" w:rsidP="00A45FE4">
            <w:pPr>
              <w:jc w:val="right"/>
              <w:rPr>
                <w:rFonts w:ascii="Arial" w:hAnsi="Arial" w:cs="Arial"/>
                <w:sz w:val="20"/>
                <w:szCs w:val="20"/>
                <w:lang w:eastAsia="en-US"/>
              </w:rPr>
            </w:pPr>
            <w:r w:rsidRPr="0088338F">
              <w:rPr>
                <w:rFonts w:ascii="Arial" w:hAnsi="Arial" w:cs="Arial"/>
                <w:sz w:val="20"/>
                <w:szCs w:val="20"/>
                <w:lang w:eastAsia="en-US"/>
              </w:rPr>
              <w:t>8 214</w:t>
            </w:r>
          </w:p>
        </w:tc>
      </w:tr>
      <w:tr w:rsidR="00E21CF0" w:rsidRPr="0088338F" w14:paraId="1107BFA5"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090155AE" w14:textId="77777777" w:rsidR="00E21CF0" w:rsidRPr="0088338F" w:rsidRDefault="00E21CF0" w:rsidP="00410E96">
            <w:pPr>
              <w:rPr>
                <w:rFonts w:ascii="Arial" w:hAnsi="Arial" w:cs="Arial"/>
                <w:sz w:val="20"/>
                <w:szCs w:val="20"/>
                <w:lang w:eastAsia="en-US"/>
              </w:rPr>
            </w:pPr>
          </w:p>
        </w:tc>
        <w:tc>
          <w:tcPr>
            <w:tcW w:w="739" w:type="dxa"/>
            <w:tcBorders>
              <w:top w:val="nil"/>
              <w:left w:val="nil"/>
              <w:bottom w:val="single" w:sz="4" w:space="0" w:color="FFFFFF"/>
              <w:right w:val="single" w:sz="4" w:space="0" w:color="FFFFFF"/>
            </w:tcBorders>
            <w:shd w:val="clear" w:color="auto" w:fill="auto"/>
            <w:noWrap/>
            <w:vAlign w:val="bottom"/>
          </w:tcPr>
          <w:p w14:paraId="1340B2A1"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341189BB" w14:textId="77777777" w:rsidR="00E21CF0" w:rsidRPr="0088338F" w:rsidRDefault="00E21CF0" w:rsidP="00A45FE4">
            <w:pPr>
              <w:jc w:val="right"/>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1FDD8A1A" w14:textId="77777777" w:rsidR="00E21CF0" w:rsidRPr="0088338F" w:rsidRDefault="00E21CF0" w:rsidP="00A45FE4">
            <w:pPr>
              <w:jc w:val="right"/>
              <w:rPr>
                <w:rFonts w:ascii="Arial" w:hAnsi="Arial" w:cs="Arial"/>
                <w:sz w:val="20"/>
                <w:szCs w:val="20"/>
                <w:lang w:eastAsia="en-US"/>
              </w:rPr>
            </w:pPr>
          </w:p>
        </w:tc>
      </w:tr>
      <w:tr w:rsidR="00E21CF0" w:rsidRPr="0088338F" w14:paraId="185BC899"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714FD942"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(Zvýšenie)/zníženie stavu povinných minimálnych rezerv v NBS</w:t>
            </w:r>
          </w:p>
        </w:tc>
        <w:tc>
          <w:tcPr>
            <w:tcW w:w="739" w:type="dxa"/>
            <w:tcBorders>
              <w:top w:val="nil"/>
              <w:left w:val="nil"/>
              <w:bottom w:val="single" w:sz="4" w:space="0" w:color="FFFFFF"/>
              <w:right w:val="single" w:sz="4" w:space="0" w:color="FFFFFF"/>
            </w:tcBorders>
            <w:shd w:val="clear" w:color="auto" w:fill="auto"/>
            <w:noWrap/>
            <w:vAlign w:val="bottom"/>
          </w:tcPr>
          <w:p w14:paraId="1F4E9B49"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25A7FEFC" w14:textId="73E61AE1" w:rsidR="00E21CF0" w:rsidRPr="0088338F" w:rsidRDefault="00E92145" w:rsidP="000908F8">
            <w:pPr>
              <w:ind w:right="-57"/>
              <w:jc w:val="right"/>
              <w:rPr>
                <w:rFonts w:ascii="Arial" w:hAnsi="Arial" w:cs="Arial"/>
                <w:sz w:val="20"/>
                <w:szCs w:val="20"/>
                <w:lang w:eastAsia="en-US"/>
              </w:rPr>
            </w:pPr>
            <w:r w:rsidRPr="0088338F">
              <w:rPr>
                <w:rFonts w:ascii="Arial" w:hAnsi="Arial" w:cs="Arial"/>
                <w:sz w:val="20"/>
                <w:szCs w:val="20"/>
                <w:lang w:eastAsia="en-US"/>
              </w:rPr>
              <w:t>(7 901)</w:t>
            </w:r>
          </w:p>
        </w:tc>
        <w:tc>
          <w:tcPr>
            <w:tcW w:w="1239" w:type="dxa"/>
            <w:tcBorders>
              <w:top w:val="nil"/>
              <w:left w:val="nil"/>
              <w:bottom w:val="single" w:sz="4" w:space="0" w:color="FFFFFF"/>
              <w:right w:val="single" w:sz="4" w:space="0" w:color="FFFFFF"/>
            </w:tcBorders>
            <w:shd w:val="clear" w:color="auto" w:fill="auto"/>
            <w:noWrap/>
            <w:vAlign w:val="bottom"/>
          </w:tcPr>
          <w:p w14:paraId="38EDDD9E" w14:textId="4D26C96D" w:rsidR="00E21CF0" w:rsidRPr="0088338F" w:rsidRDefault="00E21CF0" w:rsidP="00D463DE">
            <w:pPr>
              <w:jc w:val="right"/>
              <w:rPr>
                <w:rFonts w:ascii="Arial" w:hAnsi="Arial" w:cs="Arial"/>
                <w:sz w:val="20"/>
                <w:szCs w:val="20"/>
                <w:lang w:eastAsia="en-US"/>
              </w:rPr>
            </w:pPr>
            <w:r w:rsidRPr="0088338F">
              <w:rPr>
                <w:rFonts w:ascii="Arial" w:hAnsi="Arial" w:cs="Arial"/>
                <w:sz w:val="20"/>
                <w:szCs w:val="20"/>
                <w:lang w:eastAsia="en-US"/>
              </w:rPr>
              <w:t>11 195</w:t>
            </w:r>
          </w:p>
        </w:tc>
      </w:tr>
      <w:tr w:rsidR="00E21CF0" w:rsidRPr="0088338F" w14:paraId="21B8243B"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67685E72"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(Zvýšenie)/zníženie stavu pohľadávok voči klientom</w:t>
            </w:r>
          </w:p>
        </w:tc>
        <w:tc>
          <w:tcPr>
            <w:tcW w:w="739" w:type="dxa"/>
            <w:tcBorders>
              <w:top w:val="nil"/>
              <w:left w:val="nil"/>
              <w:bottom w:val="single" w:sz="4" w:space="0" w:color="FFFFFF"/>
              <w:right w:val="single" w:sz="4" w:space="0" w:color="FFFFFF"/>
            </w:tcBorders>
            <w:shd w:val="clear" w:color="auto" w:fill="auto"/>
            <w:noWrap/>
            <w:vAlign w:val="bottom"/>
          </w:tcPr>
          <w:p w14:paraId="29FC2F41"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4AADA369" w14:textId="797C047E" w:rsidR="00E21CF0" w:rsidRPr="0088338F" w:rsidRDefault="00E92145" w:rsidP="000908F8">
            <w:pPr>
              <w:ind w:right="-57"/>
              <w:jc w:val="right"/>
              <w:rPr>
                <w:rFonts w:ascii="Arial" w:hAnsi="Arial" w:cs="Arial"/>
                <w:sz w:val="20"/>
                <w:szCs w:val="20"/>
                <w:lang w:eastAsia="en-US"/>
              </w:rPr>
            </w:pPr>
            <w:r w:rsidRPr="0088338F">
              <w:rPr>
                <w:rFonts w:ascii="Arial" w:hAnsi="Arial" w:cs="Arial"/>
                <w:sz w:val="20"/>
                <w:szCs w:val="20"/>
                <w:lang w:eastAsia="en-US"/>
              </w:rPr>
              <w:t>(39 918)</w:t>
            </w:r>
          </w:p>
        </w:tc>
        <w:tc>
          <w:tcPr>
            <w:tcW w:w="1239" w:type="dxa"/>
            <w:tcBorders>
              <w:top w:val="nil"/>
              <w:left w:val="nil"/>
              <w:bottom w:val="single" w:sz="4" w:space="0" w:color="FFFFFF"/>
              <w:right w:val="single" w:sz="4" w:space="0" w:color="FFFFFF"/>
            </w:tcBorders>
            <w:shd w:val="clear" w:color="auto" w:fill="auto"/>
            <w:noWrap/>
            <w:vAlign w:val="bottom"/>
          </w:tcPr>
          <w:p w14:paraId="0262C1F9" w14:textId="15293696" w:rsidR="00E21CF0" w:rsidRPr="0088338F" w:rsidRDefault="00E21CF0" w:rsidP="000908F8">
            <w:pPr>
              <w:ind w:right="-57"/>
              <w:jc w:val="right"/>
              <w:rPr>
                <w:rFonts w:ascii="Arial" w:hAnsi="Arial" w:cs="Arial"/>
                <w:sz w:val="20"/>
                <w:szCs w:val="20"/>
                <w:lang w:eastAsia="en-US"/>
              </w:rPr>
            </w:pPr>
            <w:r w:rsidRPr="0088338F">
              <w:rPr>
                <w:rFonts w:ascii="Arial" w:hAnsi="Arial" w:cs="Arial"/>
                <w:sz w:val="20"/>
                <w:szCs w:val="20"/>
                <w:lang w:eastAsia="en-US"/>
              </w:rPr>
              <w:t>(34 164)</w:t>
            </w:r>
          </w:p>
        </w:tc>
      </w:tr>
      <w:tr w:rsidR="00E21CF0" w:rsidRPr="0088338F" w14:paraId="448E8445" w14:textId="77777777" w:rsidTr="002B3BCE">
        <w:trPr>
          <w:trHeight w:val="510"/>
        </w:trPr>
        <w:tc>
          <w:tcPr>
            <w:tcW w:w="6052" w:type="dxa"/>
            <w:tcBorders>
              <w:top w:val="nil"/>
              <w:left w:val="single" w:sz="4" w:space="0" w:color="FFFFFF"/>
              <w:bottom w:val="single" w:sz="4" w:space="0" w:color="FFFFFF"/>
              <w:right w:val="single" w:sz="4" w:space="0" w:color="FFFFFF"/>
            </w:tcBorders>
            <w:shd w:val="clear" w:color="auto" w:fill="auto"/>
            <w:vAlign w:val="bottom"/>
          </w:tcPr>
          <w:p w14:paraId="3052BCCF" w14:textId="77777777" w:rsidR="00E21CF0" w:rsidRPr="0088338F" w:rsidRDefault="00E21CF0" w:rsidP="00644FA3">
            <w:pPr>
              <w:ind w:left="170" w:hanging="170"/>
              <w:rPr>
                <w:rFonts w:ascii="Arial" w:hAnsi="Arial" w:cs="Arial"/>
                <w:sz w:val="20"/>
                <w:szCs w:val="20"/>
                <w:lang w:eastAsia="en-US"/>
              </w:rPr>
            </w:pPr>
            <w:r w:rsidRPr="0088338F">
              <w:rPr>
                <w:rFonts w:ascii="Arial" w:hAnsi="Arial" w:cs="Arial"/>
                <w:sz w:val="20"/>
                <w:szCs w:val="20"/>
                <w:lang w:eastAsia="en-US"/>
              </w:rPr>
              <w:t>(Zvýšenie)/zníženie stavu cenných papierov vykazovaných v reálnych hodnotách cez výsledovku</w:t>
            </w:r>
          </w:p>
        </w:tc>
        <w:tc>
          <w:tcPr>
            <w:tcW w:w="739" w:type="dxa"/>
            <w:tcBorders>
              <w:top w:val="nil"/>
              <w:left w:val="nil"/>
              <w:bottom w:val="single" w:sz="4" w:space="0" w:color="FFFFFF"/>
              <w:right w:val="single" w:sz="4" w:space="0" w:color="FFFFFF"/>
            </w:tcBorders>
            <w:shd w:val="clear" w:color="auto" w:fill="auto"/>
            <w:noWrap/>
            <w:vAlign w:val="bottom"/>
          </w:tcPr>
          <w:p w14:paraId="712225B7"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460DD97D" w14:textId="25C54F62" w:rsidR="00E21CF0" w:rsidRPr="0088338F" w:rsidRDefault="00E92145" w:rsidP="00A45FE4">
            <w:pPr>
              <w:jc w:val="right"/>
              <w:rPr>
                <w:rFonts w:ascii="Arial" w:hAnsi="Arial" w:cs="Arial"/>
                <w:sz w:val="20"/>
                <w:szCs w:val="20"/>
                <w:lang w:eastAsia="en-US"/>
              </w:rPr>
            </w:pPr>
            <w:r w:rsidRPr="0088338F">
              <w:rPr>
                <w:rFonts w:ascii="Arial" w:hAnsi="Arial" w:cs="Arial"/>
                <w:sz w:val="20"/>
                <w:szCs w:val="20"/>
                <w:lang w:eastAsia="en-US"/>
              </w:rPr>
              <w:t>255</w:t>
            </w:r>
          </w:p>
        </w:tc>
        <w:tc>
          <w:tcPr>
            <w:tcW w:w="1239" w:type="dxa"/>
            <w:tcBorders>
              <w:top w:val="nil"/>
              <w:left w:val="nil"/>
              <w:bottom w:val="single" w:sz="4" w:space="0" w:color="FFFFFF"/>
              <w:right w:val="single" w:sz="4" w:space="0" w:color="FFFFFF"/>
            </w:tcBorders>
            <w:shd w:val="clear" w:color="auto" w:fill="auto"/>
            <w:noWrap/>
            <w:vAlign w:val="bottom"/>
          </w:tcPr>
          <w:p w14:paraId="1C5D5B91" w14:textId="03931E43" w:rsidR="00E21CF0" w:rsidRPr="0088338F" w:rsidRDefault="00E21CF0" w:rsidP="00A45FE4">
            <w:pPr>
              <w:jc w:val="right"/>
              <w:rPr>
                <w:rFonts w:ascii="Arial" w:hAnsi="Arial" w:cs="Arial"/>
                <w:sz w:val="20"/>
                <w:szCs w:val="20"/>
                <w:lang w:eastAsia="en-US"/>
              </w:rPr>
            </w:pPr>
            <w:r w:rsidRPr="0088338F">
              <w:rPr>
                <w:rFonts w:ascii="Arial" w:hAnsi="Arial" w:cs="Arial"/>
                <w:sz w:val="20"/>
                <w:szCs w:val="20"/>
                <w:lang w:eastAsia="en-US"/>
              </w:rPr>
              <w:t>3 541</w:t>
            </w:r>
          </w:p>
        </w:tc>
      </w:tr>
      <w:tr w:rsidR="00E21CF0" w:rsidRPr="0088338F" w14:paraId="4EA62A18" w14:textId="77777777" w:rsidTr="002B3BCE">
        <w:trPr>
          <w:trHeight w:val="90"/>
        </w:trPr>
        <w:tc>
          <w:tcPr>
            <w:tcW w:w="6052" w:type="dxa"/>
            <w:tcBorders>
              <w:top w:val="nil"/>
              <w:left w:val="single" w:sz="4" w:space="0" w:color="FFFFFF"/>
              <w:bottom w:val="single" w:sz="4" w:space="0" w:color="FFFFFF"/>
              <w:right w:val="single" w:sz="4" w:space="0" w:color="FFFFFF"/>
            </w:tcBorders>
            <w:shd w:val="clear" w:color="auto" w:fill="auto"/>
            <w:vAlign w:val="bottom"/>
          </w:tcPr>
          <w:p w14:paraId="2A75268E" w14:textId="77777777" w:rsidR="00E21CF0" w:rsidRPr="0088338F" w:rsidRDefault="00E21CF0" w:rsidP="00CA2FFF">
            <w:pPr>
              <w:ind w:left="181" w:hanging="181"/>
              <w:rPr>
                <w:rFonts w:ascii="Arial" w:hAnsi="Arial" w:cs="Arial"/>
                <w:sz w:val="20"/>
                <w:szCs w:val="20"/>
                <w:lang w:eastAsia="en-US"/>
              </w:rPr>
            </w:pPr>
            <w:r w:rsidRPr="0088338F">
              <w:rPr>
                <w:rFonts w:ascii="Arial" w:hAnsi="Arial" w:cs="Arial"/>
                <w:sz w:val="20"/>
                <w:szCs w:val="20"/>
                <w:lang w:eastAsia="en-US"/>
              </w:rPr>
              <w:t>(Zvýšenie)/zníženie stavu cenných papierov k dispozícii na predaj</w:t>
            </w:r>
          </w:p>
        </w:tc>
        <w:tc>
          <w:tcPr>
            <w:tcW w:w="739" w:type="dxa"/>
            <w:tcBorders>
              <w:top w:val="nil"/>
              <w:left w:val="nil"/>
              <w:bottom w:val="single" w:sz="4" w:space="0" w:color="FFFFFF"/>
              <w:right w:val="single" w:sz="4" w:space="0" w:color="FFFFFF"/>
            </w:tcBorders>
            <w:shd w:val="clear" w:color="auto" w:fill="auto"/>
            <w:noWrap/>
            <w:vAlign w:val="bottom"/>
          </w:tcPr>
          <w:p w14:paraId="6B54E71B" w14:textId="77777777" w:rsidR="00E21CF0" w:rsidRPr="0088338F" w:rsidRDefault="00E21CF0" w:rsidP="00A45FE4">
            <w:pPr>
              <w:ind w:right="-48"/>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3332E8A0" w14:textId="1F4C1188" w:rsidR="00E21CF0" w:rsidRPr="0088338F" w:rsidRDefault="00E92145" w:rsidP="000908F8">
            <w:pPr>
              <w:ind w:right="-57"/>
              <w:jc w:val="right"/>
              <w:rPr>
                <w:rFonts w:ascii="Arial" w:hAnsi="Arial" w:cs="Arial"/>
                <w:sz w:val="20"/>
                <w:szCs w:val="20"/>
                <w:lang w:eastAsia="en-US"/>
              </w:rPr>
            </w:pPr>
            <w:r w:rsidRPr="0088338F">
              <w:rPr>
                <w:rFonts w:ascii="Arial" w:hAnsi="Arial" w:cs="Arial"/>
                <w:sz w:val="20"/>
                <w:szCs w:val="20"/>
                <w:lang w:eastAsia="en-US"/>
              </w:rPr>
              <w:t>(22 457)</w:t>
            </w:r>
          </w:p>
        </w:tc>
        <w:tc>
          <w:tcPr>
            <w:tcW w:w="1239" w:type="dxa"/>
            <w:tcBorders>
              <w:top w:val="nil"/>
              <w:left w:val="nil"/>
              <w:bottom w:val="single" w:sz="4" w:space="0" w:color="FFFFFF"/>
              <w:right w:val="single" w:sz="4" w:space="0" w:color="FFFFFF"/>
            </w:tcBorders>
            <w:shd w:val="clear" w:color="auto" w:fill="auto"/>
            <w:noWrap/>
            <w:vAlign w:val="bottom"/>
          </w:tcPr>
          <w:p w14:paraId="431318AB" w14:textId="1F8181F9" w:rsidR="00E21CF0" w:rsidRPr="0088338F" w:rsidRDefault="00E21CF0" w:rsidP="00D463DE">
            <w:pPr>
              <w:jc w:val="right"/>
              <w:rPr>
                <w:rFonts w:ascii="Arial" w:hAnsi="Arial" w:cs="Arial"/>
                <w:sz w:val="20"/>
                <w:szCs w:val="20"/>
                <w:lang w:eastAsia="en-US"/>
              </w:rPr>
            </w:pPr>
            <w:r w:rsidRPr="0088338F">
              <w:rPr>
                <w:rFonts w:ascii="Arial" w:hAnsi="Arial" w:cs="Arial"/>
                <w:sz w:val="20"/>
                <w:szCs w:val="20"/>
                <w:lang w:eastAsia="en-US"/>
              </w:rPr>
              <w:t>28 492</w:t>
            </w:r>
          </w:p>
        </w:tc>
      </w:tr>
      <w:tr w:rsidR="00E21CF0" w:rsidRPr="0088338F" w14:paraId="732B6C91"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57A9A99E"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(Zvýšenie)/zníženie stavu ostatných aktív</w:t>
            </w:r>
          </w:p>
        </w:tc>
        <w:tc>
          <w:tcPr>
            <w:tcW w:w="739" w:type="dxa"/>
            <w:tcBorders>
              <w:top w:val="nil"/>
              <w:left w:val="nil"/>
              <w:bottom w:val="single" w:sz="4" w:space="0" w:color="FFFFFF"/>
              <w:right w:val="single" w:sz="4" w:space="0" w:color="FFFFFF"/>
            </w:tcBorders>
            <w:shd w:val="clear" w:color="auto" w:fill="auto"/>
            <w:noWrap/>
            <w:vAlign w:val="bottom"/>
          </w:tcPr>
          <w:p w14:paraId="22DCF681"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11E9801E" w14:textId="0E19C2FA" w:rsidR="00E21CF0" w:rsidRPr="0088338F" w:rsidRDefault="00E92145" w:rsidP="000908F8">
            <w:pPr>
              <w:ind w:right="-57"/>
              <w:jc w:val="right"/>
              <w:rPr>
                <w:rFonts w:ascii="Arial" w:hAnsi="Arial" w:cs="Arial"/>
                <w:sz w:val="20"/>
                <w:szCs w:val="20"/>
                <w:lang w:eastAsia="en-US"/>
              </w:rPr>
            </w:pPr>
            <w:r w:rsidRPr="0088338F">
              <w:rPr>
                <w:rFonts w:ascii="Arial" w:hAnsi="Arial" w:cs="Arial"/>
                <w:sz w:val="20"/>
                <w:szCs w:val="20"/>
                <w:lang w:eastAsia="en-US"/>
              </w:rPr>
              <w:t>(1 308)</w:t>
            </w:r>
          </w:p>
        </w:tc>
        <w:tc>
          <w:tcPr>
            <w:tcW w:w="1239" w:type="dxa"/>
            <w:tcBorders>
              <w:top w:val="nil"/>
              <w:left w:val="nil"/>
              <w:bottom w:val="single" w:sz="4" w:space="0" w:color="FFFFFF"/>
              <w:right w:val="single" w:sz="4" w:space="0" w:color="FFFFFF"/>
            </w:tcBorders>
            <w:shd w:val="clear" w:color="auto" w:fill="auto"/>
            <w:noWrap/>
            <w:vAlign w:val="bottom"/>
          </w:tcPr>
          <w:p w14:paraId="45E4BCCA" w14:textId="015CDB21" w:rsidR="00E21CF0" w:rsidRPr="0088338F" w:rsidRDefault="00E21CF0" w:rsidP="000908F8">
            <w:pPr>
              <w:ind w:right="-57"/>
              <w:jc w:val="right"/>
              <w:rPr>
                <w:rFonts w:ascii="Arial" w:hAnsi="Arial" w:cs="Arial"/>
                <w:sz w:val="20"/>
                <w:szCs w:val="20"/>
                <w:lang w:eastAsia="en-US"/>
              </w:rPr>
            </w:pPr>
            <w:r w:rsidRPr="0088338F">
              <w:rPr>
                <w:rFonts w:ascii="Arial" w:hAnsi="Arial" w:cs="Arial"/>
                <w:sz w:val="20"/>
                <w:szCs w:val="20"/>
                <w:lang w:eastAsia="en-US"/>
              </w:rPr>
              <w:t>(375)</w:t>
            </w:r>
          </w:p>
        </w:tc>
      </w:tr>
      <w:tr w:rsidR="00E21CF0" w:rsidRPr="0088338F" w14:paraId="503AC917"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63F0F90D"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Zvýšenie/(zníženie) stavu záväzkov voči bankám</w:t>
            </w:r>
          </w:p>
        </w:tc>
        <w:tc>
          <w:tcPr>
            <w:tcW w:w="739" w:type="dxa"/>
            <w:tcBorders>
              <w:top w:val="nil"/>
              <w:left w:val="nil"/>
              <w:bottom w:val="single" w:sz="4" w:space="0" w:color="FFFFFF"/>
              <w:right w:val="single" w:sz="4" w:space="0" w:color="FFFFFF"/>
            </w:tcBorders>
            <w:shd w:val="clear" w:color="auto" w:fill="auto"/>
            <w:noWrap/>
            <w:vAlign w:val="bottom"/>
          </w:tcPr>
          <w:p w14:paraId="2E8F43A9"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49237F5D" w14:textId="0D59AFD7" w:rsidR="00E21CF0" w:rsidRPr="0088338F" w:rsidRDefault="00E92145" w:rsidP="00E92145">
            <w:pPr>
              <w:ind w:right="-21"/>
              <w:jc w:val="right"/>
              <w:rPr>
                <w:rFonts w:ascii="Arial" w:hAnsi="Arial" w:cs="Arial"/>
                <w:sz w:val="20"/>
                <w:szCs w:val="20"/>
                <w:lang w:eastAsia="en-US"/>
              </w:rPr>
            </w:pPr>
            <w:r w:rsidRPr="0088338F">
              <w:rPr>
                <w:rFonts w:ascii="Arial" w:hAnsi="Arial" w:cs="Arial"/>
                <w:sz w:val="20"/>
                <w:szCs w:val="20"/>
                <w:lang w:eastAsia="en-US"/>
              </w:rPr>
              <w:t>22</w:t>
            </w:r>
          </w:p>
        </w:tc>
        <w:tc>
          <w:tcPr>
            <w:tcW w:w="1239" w:type="dxa"/>
            <w:tcBorders>
              <w:top w:val="nil"/>
              <w:left w:val="nil"/>
              <w:bottom w:val="single" w:sz="4" w:space="0" w:color="FFFFFF"/>
              <w:right w:val="single" w:sz="4" w:space="0" w:color="FFFFFF"/>
            </w:tcBorders>
            <w:shd w:val="clear" w:color="auto" w:fill="auto"/>
            <w:noWrap/>
            <w:vAlign w:val="bottom"/>
          </w:tcPr>
          <w:p w14:paraId="71D9EBDF" w14:textId="12D633D4" w:rsidR="00E21CF0" w:rsidRPr="0088338F" w:rsidRDefault="00E21CF0" w:rsidP="000908F8">
            <w:pPr>
              <w:ind w:right="-57"/>
              <w:jc w:val="right"/>
              <w:rPr>
                <w:rFonts w:ascii="Arial" w:hAnsi="Arial" w:cs="Arial"/>
                <w:sz w:val="20"/>
                <w:szCs w:val="20"/>
                <w:lang w:eastAsia="en-US"/>
              </w:rPr>
            </w:pPr>
            <w:r w:rsidRPr="0088338F">
              <w:rPr>
                <w:rFonts w:ascii="Arial" w:hAnsi="Arial" w:cs="Arial"/>
                <w:sz w:val="20"/>
                <w:szCs w:val="20"/>
                <w:lang w:eastAsia="en-US"/>
              </w:rPr>
              <w:t>(66 562)</w:t>
            </w:r>
          </w:p>
        </w:tc>
      </w:tr>
      <w:tr w:rsidR="00E21CF0" w:rsidRPr="0088338F" w14:paraId="573A761B"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7A415397"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 xml:space="preserve">Zvýšenie/(zníženie) stavu záväzkov voči klientom </w:t>
            </w:r>
          </w:p>
        </w:tc>
        <w:tc>
          <w:tcPr>
            <w:tcW w:w="739" w:type="dxa"/>
            <w:tcBorders>
              <w:top w:val="nil"/>
              <w:left w:val="nil"/>
              <w:bottom w:val="single" w:sz="4" w:space="0" w:color="FFFFFF"/>
              <w:right w:val="single" w:sz="4" w:space="0" w:color="FFFFFF"/>
            </w:tcBorders>
            <w:shd w:val="clear" w:color="auto" w:fill="auto"/>
            <w:noWrap/>
            <w:vAlign w:val="bottom"/>
          </w:tcPr>
          <w:p w14:paraId="3730B8B3"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632A73C8" w14:textId="44BB755D" w:rsidR="00E21CF0" w:rsidRPr="0088338F" w:rsidRDefault="00E92145" w:rsidP="00A45FE4">
            <w:pPr>
              <w:jc w:val="right"/>
              <w:rPr>
                <w:rFonts w:ascii="Arial" w:hAnsi="Arial" w:cs="Arial"/>
                <w:sz w:val="20"/>
                <w:szCs w:val="20"/>
                <w:lang w:eastAsia="en-US"/>
              </w:rPr>
            </w:pPr>
            <w:r w:rsidRPr="0088338F">
              <w:rPr>
                <w:rFonts w:ascii="Arial" w:hAnsi="Arial" w:cs="Arial"/>
                <w:sz w:val="20"/>
                <w:szCs w:val="20"/>
                <w:lang w:eastAsia="en-US"/>
              </w:rPr>
              <w:t>22 602</w:t>
            </w:r>
          </w:p>
        </w:tc>
        <w:tc>
          <w:tcPr>
            <w:tcW w:w="1239" w:type="dxa"/>
            <w:tcBorders>
              <w:top w:val="nil"/>
              <w:left w:val="nil"/>
              <w:bottom w:val="single" w:sz="4" w:space="0" w:color="FFFFFF"/>
              <w:right w:val="single" w:sz="4" w:space="0" w:color="FFFFFF"/>
            </w:tcBorders>
            <w:shd w:val="clear" w:color="auto" w:fill="auto"/>
            <w:noWrap/>
            <w:vAlign w:val="bottom"/>
          </w:tcPr>
          <w:p w14:paraId="6EA8A7CE" w14:textId="12F16826" w:rsidR="00E21CF0" w:rsidRPr="0088338F" w:rsidRDefault="00E21CF0" w:rsidP="00A45FE4">
            <w:pPr>
              <w:jc w:val="right"/>
              <w:rPr>
                <w:rFonts w:ascii="Arial" w:hAnsi="Arial" w:cs="Arial"/>
                <w:sz w:val="20"/>
                <w:szCs w:val="20"/>
                <w:lang w:eastAsia="en-US"/>
              </w:rPr>
            </w:pPr>
            <w:r w:rsidRPr="0088338F">
              <w:rPr>
                <w:rFonts w:ascii="Arial" w:hAnsi="Arial" w:cs="Arial"/>
                <w:sz w:val="20"/>
                <w:szCs w:val="20"/>
                <w:lang w:eastAsia="en-US"/>
              </w:rPr>
              <w:t>14 032</w:t>
            </w:r>
          </w:p>
        </w:tc>
      </w:tr>
      <w:tr w:rsidR="00E21CF0" w:rsidRPr="0088338F" w14:paraId="45186A85"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vAlign w:val="bottom"/>
          </w:tcPr>
          <w:p w14:paraId="78D1D5C7" w14:textId="77777777" w:rsidR="00E21CF0" w:rsidRPr="0088338F" w:rsidRDefault="00E21CF0" w:rsidP="009B6AAA">
            <w:pPr>
              <w:rPr>
                <w:rFonts w:ascii="Arial" w:hAnsi="Arial" w:cs="Arial"/>
                <w:sz w:val="20"/>
                <w:szCs w:val="20"/>
                <w:lang w:eastAsia="en-US"/>
              </w:rPr>
            </w:pPr>
            <w:r w:rsidRPr="0088338F">
              <w:rPr>
                <w:rFonts w:ascii="Arial" w:hAnsi="Arial" w:cs="Arial"/>
                <w:sz w:val="20"/>
                <w:szCs w:val="20"/>
                <w:lang w:eastAsia="en-US"/>
              </w:rPr>
              <w:t>Zvýšenie/(zníženie) stavu záväzkov z dlhových CP - zmenky</w:t>
            </w:r>
          </w:p>
        </w:tc>
        <w:tc>
          <w:tcPr>
            <w:tcW w:w="739" w:type="dxa"/>
            <w:tcBorders>
              <w:top w:val="nil"/>
              <w:left w:val="nil"/>
              <w:bottom w:val="single" w:sz="4" w:space="0" w:color="FFFFFF"/>
              <w:right w:val="single" w:sz="4" w:space="0" w:color="FFFFFF"/>
            </w:tcBorders>
            <w:shd w:val="clear" w:color="auto" w:fill="auto"/>
            <w:noWrap/>
            <w:vAlign w:val="bottom"/>
          </w:tcPr>
          <w:p w14:paraId="250329AE"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0562D1C1" w14:textId="66925BB5" w:rsidR="00E21CF0" w:rsidRPr="0088338F" w:rsidRDefault="00E92145" w:rsidP="00E92145">
            <w:pPr>
              <w:ind w:right="-21"/>
              <w:jc w:val="right"/>
              <w:rPr>
                <w:rFonts w:ascii="Arial" w:hAnsi="Arial" w:cs="Arial"/>
                <w:sz w:val="20"/>
                <w:szCs w:val="20"/>
                <w:lang w:eastAsia="en-US"/>
              </w:rPr>
            </w:pPr>
            <w:r w:rsidRPr="0088338F">
              <w:rPr>
                <w:rFonts w:ascii="Arial" w:hAnsi="Arial" w:cs="Arial"/>
                <w:sz w:val="20"/>
                <w:szCs w:val="20"/>
                <w:lang w:eastAsia="en-US"/>
              </w:rPr>
              <w:t>-</w:t>
            </w:r>
          </w:p>
        </w:tc>
        <w:tc>
          <w:tcPr>
            <w:tcW w:w="1239" w:type="dxa"/>
            <w:tcBorders>
              <w:top w:val="nil"/>
              <w:left w:val="nil"/>
              <w:bottom w:val="single" w:sz="4" w:space="0" w:color="FFFFFF"/>
              <w:right w:val="single" w:sz="4" w:space="0" w:color="FFFFFF"/>
            </w:tcBorders>
            <w:shd w:val="clear" w:color="auto" w:fill="auto"/>
            <w:noWrap/>
            <w:vAlign w:val="bottom"/>
          </w:tcPr>
          <w:p w14:paraId="3B158EEA" w14:textId="6024D1A6" w:rsidR="00E21CF0" w:rsidRPr="0088338F" w:rsidRDefault="00E21CF0" w:rsidP="000908F8">
            <w:pPr>
              <w:ind w:right="-57"/>
              <w:jc w:val="right"/>
              <w:rPr>
                <w:rFonts w:ascii="Arial" w:hAnsi="Arial" w:cs="Arial"/>
                <w:sz w:val="20"/>
                <w:szCs w:val="20"/>
                <w:lang w:eastAsia="en-US"/>
              </w:rPr>
            </w:pPr>
            <w:r w:rsidRPr="0088338F">
              <w:rPr>
                <w:rFonts w:ascii="Arial" w:hAnsi="Arial" w:cs="Arial"/>
                <w:sz w:val="20"/>
                <w:szCs w:val="20"/>
                <w:lang w:eastAsia="en-US"/>
              </w:rPr>
              <w:t>(1 055)</w:t>
            </w:r>
          </w:p>
        </w:tc>
      </w:tr>
      <w:tr w:rsidR="00E21CF0" w:rsidRPr="0088338F" w14:paraId="391EB7C8"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54BB3D0B"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Platby dane z príjmu</w:t>
            </w:r>
          </w:p>
        </w:tc>
        <w:tc>
          <w:tcPr>
            <w:tcW w:w="739" w:type="dxa"/>
            <w:tcBorders>
              <w:top w:val="nil"/>
              <w:left w:val="nil"/>
              <w:bottom w:val="single" w:sz="4" w:space="0" w:color="FFFFFF"/>
              <w:right w:val="single" w:sz="4" w:space="0" w:color="FFFFFF"/>
            </w:tcBorders>
            <w:shd w:val="clear" w:color="auto" w:fill="auto"/>
            <w:noWrap/>
            <w:vAlign w:val="bottom"/>
          </w:tcPr>
          <w:p w14:paraId="2E21A8D6"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5C56EB6A" w14:textId="156C21CD" w:rsidR="00E21CF0" w:rsidRPr="0088338F" w:rsidRDefault="00D463DE" w:rsidP="000908F8">
            <w:pPr>
              <w:ind w:right="-57"/>
              <w:jc w:val="right"/>
              <w:rPr>
                <w:rFonts w:ascii="Arial" w:hAnsi="Arial" w:cs="Arial"/>
                <w:sz w:val="20"/>
                <w:szCs w:val="20"/>
                <w:lang w:eastAsia="en-US"/>
              </w:rPr>
            </w:pPr>
            <w:r w:rsidRPr="0088338F">
              <w:rPr>
                <w:rFonts w:ascii="Arial" w:hAnsi="Arial" w:cs="Arial"/>
                <w:sz w:val="20"/>
                <w:szCs w:val="20"/>
                <w:lang w:eastAsia="en-US"/>
              </w:rPr>
              <w:t>(2 556)</w:t>
            </w:r>
          </w:p>
        </w:tc>
        <w:tc>
          <w:tcPr>
            <w:tcW w:w="1239" w:type="dxa"/>
            <w:tcBorders>
              <w:top w:val="nil"/>
              <w:left w:val="nil"/>
              <w:bottom w:val="single" w:sz="4" w:space="0" w:color="FFFFFF"/>
              <w:right w:val="single" w:sz="4" w:space="0" w:color="FFFFFF"/>
            </w:tcBorders>
            <w:shd w:val="clear" w:color="auto" w:fill="auto"/>
            <w:noWrap/>
            <w:vAlign w:val="bottom"/>
          </w:tcPr>
          <w:p w14:paraId="0D921AE7" w14:textId="30049529" w:rsidR="00E21CF0" w:rsidRPr="0088338F" w:rsidRDefault="00E21CF0" w:rsidP="000908F8">
            <w:pPr>
              <w:ind w:right="-57"/>
              <w:jc w:val="right"/>
              <w:rPr>
                <w:rFonts w:ascii="Arial" w:hAnsi="Arial" w:cs="Arial"/>
                <w:sz w:val="20"/>
                <w:szCs w:val="20"/>
                <w:lang w:eastAsia="en-US"/>
              </w:rPr>
            </w:pPr>
            <w:r w:rsidRPr="0088338F">
              <w:rPr>
                <w:rFonts w:ascii="Arial" w:hAnsi="Arial" w:cs="Arial"/>
                <w:sz w:val="20"/>
                <w:szCs w:val="20"/>
                <w:lang w:eastAsia="en-US"/>
              </w:rPr>
              <w:t>(3 653)</w:t>
            </w:r>
          </w:p>
        </w:tc>
      </w:tr>
      <w:tr w:rsidR="00E21CF0" w:rsidRPr="0088338F" w14:paraId="74108302"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6A7D3F68"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Zvýšenie/(zníženie) stavu ostatných záväzkov</w:t>
            </w:r>
          </w:p>
        </w:tc>
        <w:tc>
          <w:tcPr>
            <w:tcW w:w="739" w:type="dxa"/>
            <w:tcBorders>
              <w:top w:val="nil"/>
              <w:left w:val="nil"/>
              <w:bottom w:val="single" w:sz="4" w:space="0" w:color="FFFFFF"/>
              <w:right w:val="single" w:sz="4" w:space="0" w:color="FFFFFF"/>
            </w:tcBorders>
            <w:shd w:val="clear" w:color="auto" w:fill="auto"/>
            <w:noWrap/>
            <w:vAlign w:val="bottom"/>
          </w:tcPr>
          <w:p w14:paraId="61F66B1F"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45786525" w14:textId="70597516" w:rsidR="00E21CF0" w:rsidRPr="0088338F" w:rsidRDefault="00D463DE" w:rsidP="00A45FE4">
            <w:pPr>
              <w:jc w:val="right"/>
              <w:rPr>
                <w:rFonts w:ascii="Arial" w:hAnsi="Arial" w:cs="Arial"/>
                <w:sz w:val="20"/>
                <w:szCs w:val="20"/>
                <w:lang w:eastAsia="en-US"/>
              </w:rPr>
            </w:pPr>
            <w:r w:rsidRPr="0088338F">
              <w:rPr>
                <w:rFonts w:ascii="Arial" w:hAnsi="Arial" w:cs="Arial"/>
                <w:sz w:val="20"/>
                <w:szCs w:val="20"/>
                <w:lang w:eastAsia="en-US"/>
              </w:rPr>
              <w:t>1 256</w:t>
            </w:r>
          </w:p>
        </w:tc>
        <w:tc>
          <w:tcPr>
            <w:tcW w:w="1239" w:type="dxa"/>
            <w:tcBorders>
              <w:top w:val="nil"/>
              <w:left w:val="nil"/>
              <w:bottom w:val="single" w:sz="4" w:space="0" w:color="FFFFFF"/>
              <w:right w:val="single" w:sz="4" w:space="0" w:color="FFFFFF"/>
            </w:tcBorders>
            <w:shd w:val="clear" w:color="auto" w:fill="auto"/>
            <w:noWrap/>
            <w:vAlign w:val="bottom"/>
          </w:tcPr>
          <w:p w14:paraId="36CD10F6" w14:textId="016ED738" w:rsidR="00E21CF0" w:rsidRPr="0088338F" w:rsidRDefault="00E21CF0" w:rsidP="000E0C44">
            <w:pPr>
              <w:jc w:val="right"/>
              <w:rPr>
                <w:rFonts w:ascii="Arial" w:hAnsi="Arial" w:cs="Arial"/>
                <w:sz w:val="20"/>
                <w:szCs w:val="20"/>
                <w:lang w:eastAsia="en-US"/>
              </w:rPr>
            </w:pPr>
            <w:r w:rsidRPr="0088338F">
              <w:rPr>
                <w:rFonts w:ascii="Arial" w:hAnsi="Arial" w:cs="Arial"/>
                <w:sz w:val="20"/>
                <w:szCs w:val="20"/>
                <w:lang w:eastAsia="en-US"/>
              </w:rPr>
              <w:t>832</w:t>
            </w:r>
          </w:p>
        </w:tc>
      </w:tr>
      <w:tr w:rsidR="00E21CF0" w:rsidRPr="0088338F" w14:paraId="7F39CA74" w14:textId="77777777" w:rsidTr="002B3BCE">
        <w:trPr>
          <w:trHeight w:val="255"/>
        </w:trPr>
        <w:tc>
          <w:tcPr>
            <w:tcW w:w="6052" w:type="dxa"/>
            <w:tcBorders>
              <w:top w:val="single" w:sz="4" w:space="0" w:color="auto"/>
              <w:left w:val="single" w:sz="4" w:space="0" w:color="FFFFFF"/>
              <w:bottom w:val="single" w:sz="4" w:space="0" w:color="FFFFFF"/>
              <w:right w:val="single" w:sz="4" w:space="0" w:color="FFFFFF"/>
            </w:tcBorders>
            <w:shd w:val="clear" w:color="auto" w:fill="auto"/>
            <w:noWrap/>
            <w:vAlign w:val="bottom"/>
          </w:tcPr>
          <w:p w14:paraId="387ED52B" w14:textId="77777777" w:rsidR="00E21CF0" w:rsidRPr="0088338F" w:rsidRDefault="00E21CF0" w:rsidP="00410E96">
            <w:pPr>
              <w:rPr>
                <w:rFonts w:ascii="Arial" w:hAnsi="Arial" w:cs="Arial"/>
                <w:b/>
                <w:bCs/>
                <w:sz w:val="20"/>
                <w:szCs w:val="20"/>
                <w:lang w:eastAsia="en-US"/>
              </w:rPr>
            </w:pPr>
            <w:r w:rsidRPr="0088338F">
              <w:rPr>
                <w:rFonts w:ascii="Arial" w:hAnsi="Arial" w:cs="Arial"/>
                <w:b/>
                <w:bCs/>
                <w:sz w:val="20"/>
                <w:szCs w:val="20"/>
                <w:lang w:eastAsia="en-US"/>
              </w:rPr>
              <w:t>Čisté peňažné toky z prevádzkových činností</w:t>
            </w:r>
          </w:p>
        </w:tc>
        <w:tc>
          <w:tcPr>
            <w:tcW w:w="739" w:type="dxa"/>
            <w:tcBorders>
              <w:top w:val="single" w:sz="4" w:space="0" w:color="auto"/>
              <w:left w:val="nil"/>
              <w:bottom w:val="single" w:sz="4" w:space="0" w:color="FFFFFF"/>
              <w:right w:val="single" w:sz="4" w:space="0" w:color="FFFFFF"/>
            </w:tcBorders>
            <w:shd w:val="clear" w:color="auto" w:fill="auto"/>
            <w:noWrap/>
            <w:vAlign w:val="bottom"/>
          </w:tcPr>
          <w:p w14:paraId="74C4ACC2" w14:textId="77777777" w:rsidR="00E21CF0" w:rsidRPr="0088338F" w:rsidRDefault="00E21CF0" w:rsidP="00A45FE4">
            <w:pPr>
              <w:jc w:val="center"/>
              <w:rPr>
                <w:rFonts w:ascii="Arial" w:hAnsi="Arial" w:cs="Arial"/>
                <w:sz w:val="20"/>
                <w:szCs w:val="20"/>
                <w:lang w:eastAsia="en-US"/>
              </w:rPr>
            </w:pPr>
          </w:p>
        </w:tc>
        <w:tc>
          <w:tcPr>
            <w:tcW w:w="1239" w:type="dxa"/>
            <w:tcBorders>
              <w:top w:val="single" w:sz="4" w:space="0" w:color="auto"/>
              <w:left w:val="nil"/>
              <w:bottom w:val="single" w:sz="4" w:space="0" w:color="FFFFFF"/>
              <w:right w:val="single" w:sz="4" w:space="0" w:color="FFFFFF"/>
            </w:tcBorders>
            <w:shd w:val="clear" w:color="auto" w:fill="auto"/>
            <w:noWrap/>
            <w:vAlign w:val="bottom"/>
          </w:tcPr>
          <w:p w14:paraId="38247C06" w14:textId="27498C2A" w:rsidR="00E21CF0" w:rsidRPr="0088338F" w:rsidRDefault="000E0C44" w:rsidP="000908F8">
            <w:pPr>
              <w:ind w:right="-57"/>
              <w:jc w:val="right"/>
              <w:rPr>
                <w:rFonts w:ascii="Arial" w:hAnsi="Arial" w:cs="Arial"/>
                <w:b/>
                <w:sz w:val="20"/>
                <w:szCs w:val="20"/>
                <w:lang w:eastAsia="en-US"/>
              </w:rPr>
            </w:pPr>
            <w:r w:rsidRPr="0088338F">
              <w:rPr>
                <w:rFonts w:ascii="Arial" w:hAnsi="Arial" w:cs="Arial"/>
                <w:b/>
                <w:sz w:val="20"/>
                <w:szCs w:val="20"/>
                <w:lang w:eastAsia="en-US"/>
              </w:rPr>
              <w:t>(37 016)</w:t>
            </w:r>
          </w:p>
        </w:tc>
        <w:tc>
          <w:tcPr>
            <w:tcW w:w="1239" w:type="dxa"/>
            <w:tcBorders>
              <w:top w:val="single" w:sz="4" w:space="0" w:color="auto"/>
              <w:left w:val="nil"/>
              <w:bottom w:val="single" w:sz="4" w:space="0" w:color="FFFFFF"/>
              <w:right w:val="single" w:sz="4" w:space="0" w:color="FFFFFF"/>
            </w:tcBorders>
            <w:shd w:val="clear" w:color="auto" w:fill="auto"/>
            <w:noWrap/>
            <w:vAlign w:val="bottom"/>
          </w:tcPr>
          <w:p w14:paraId="6AB6BB3C" w14:textId="6DEDD765" w:rsidR="00E21CF0" w:rsidRPr="0088338F" w:rsidRDefault="00E21CF0" w:rsidP="000908F8">
            <w:pPr>
              <w:ind w:right="-57"/>
              <w:jc w:val="right"/>
              <w:rPr>
                <w:rFonts w:ascii="Arial" w:hAnsi="Arial" w:cs="Arial"/>
                <w:b/>
                <w:sz w:val="20"/>
                <w:szCs w:val="20"/>
                <w:lang w:eastAsia="en-US"/>
              </w:rPr>
            </w:pPr>
            <w:r w:rsidRPr="0088338F">
              <w:rPr>
                <w:rFonts w:ascii="Arial" w:hAnsi="Arial" w:cs="Arial"/>
                <w:b/>
                <w:sz w:val="20"/>
                <w:szCs w:val="20"/>
                <w:lang w:eastAsia="en-US"/>
              </w:rPr>
              <w:t>(39 503)</w:t>
            </w:r>
          </w:p>
        </w:tc>
      </w:tr>
      <w:tr w:rsidR="00E21CF0" w:rsidRPr="0088338F" w14:paraId="692E3269"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6718C64A"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 </w:t>
            </w:r>
          </w:p>
        </w:tc>
        <w:tc>
          <w:tcPr>
            <w:tcW w:w="739" w:type="dxa"/>
            <w:tcBorders>
              <w:top w:val="nil"/>
              <w:left w:val="nil"/>
              <w:bottom w:val="single" w:sz="4" w:space="0" w:color="FFFFFF"/>
              <w:right w:val="single" w:sz="4" w:space="0" w:color="FFFFFF"/>
            </w:tcBorders>
            <w:shd w:val="clear" w:color="auto" w:fill="auto"/>
            <w:noWrap/>
            <w:vAlign w:val="bottom"/>
          </w:tcPr>
          <w:p w14:paraId="3C7BF25B"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7A0D4EFE" w14:textId="77777777" w:rsidR="00E21CF0" w:rsidRPr="0088338F" w:rsidRDefault="00E21CF0" w:rsidP="00A45FE4">
            <w:pPr>
              <w:jc w:val="right"/>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6B9C607B" w14:textId="77777777" w:rsidR="00E21CF0" w:rsidRPr="0088338F" w:rsidRDefault="00E21CF0" w:rsidP="00A45FE4">
            <w:pPr>
              <w:jc w:val="right"/>
              <w:rPr>
                <w:rFonts w:ascii="Arial" w:hAnsi="Arial" w:cs="Arial"/>
                <w:sz w:val="20"/>
                <w:szCs w:val="20"/>
                <w:lang w:eastAsia="en-US"/>
              </w:rPr>
            </w:pPr>
          </w:p>
        </w:tc>
      </w:tr>
      <w:tr w:rsidR="00E21CF0" w:rsidRPr="0088338F" w14:paraId="0F493815"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2C50DD5B" w14:textId="77777777" w:rsidR="00E21CF0" w:rsidRPr="0088338F" w:rsidRDefault="00E21CF0" w:rsidP="00410E96">
            <w:pPr>
              <w:rPr>
                <w:rFonts w:ascii="Arial" w:hAnsi="Arial" w:cs="Arial"/>
                <w:b/>
                <w:bCs/>
                <w:sz w:val="20"/>
                <w:szCs w:val="20"/>
                <w:lang w:eastAsia="en-US"/>
              </w:rPr>
            </w:pPr>
            <w:r w:rsidRPr="0088338F">
              <w:rPr>
                <w:rFonts w:ascii="Arial" w:hAnsi="Arial" w:cs="Arial"/>
                <w:b/>
                <w:bCs/>
                <w:sz w:val="20"/>
                <w:szCs w:val="20"/>
                <w:lang w:eastAsia="en-US"/>
              </w:rPr>
              <w:t>Peňažné toky z investičných činností</w:t>
            </w:r>
          </w:p>
        </w:tc>
        <w:tc>
          <w:tcPr>
            <w:tcW w:w="739" w:type="dxa"/>
            <w:tcBorders>
              <w:top w:val="nil"/>
              <w:left w:val="nil"/>
              <w:bottom w:val="single" w:sz="4" w:space="0" w:color="FFFFFF"/>
              <w:right w:val="single" w:sz="4" w:space="0" w:color="FFFFFF"/>
            </w:tcBorders>
            <w:shd w:val="clear" w:color="auto" w:fill="auto"/>
            <w:noWrap/>
            <w:vAlign w:val="bottom"/>
          </w:tcPr>
          <w:p w14:paraId="3548C586"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43CE7AE0" w14:textId="77777777" w:rsidR="00E21CF0" w:rsidRPr="0088338F" w:rsidRDefault="00E21CF0" w:rsidP="00A45FE4">
            <w:pPr>
              <w:jc w:val="right"/>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634CAB01" w14:textId="77777777" w:rsidR="00E21CF0" w:rsidRPr="0088338F" w:rsidRDefault="00E21CF0" w:rsidP="00A45FE4">
            <w:pPr>
              <w:jc w:val="right"/>
              <w:rPr>
                <w:rFonts w:ascii="Arial" w:hAnsi="Arial" w:cs="Arial"/>
                <w:sz w:val="20"/>
                <w:szCs w:val="20"/>
                <w:lang w:eastAsia="en-US"/>
              </w:rPr>
            </w:pPr>
          </w:p>
        </w:tc>
      </w:tr>
      <w:tr w:rsidR="00E21CF0" w:rsidRPr="0088338F" w14:paraId="04EECD16" w14:textId="77777777" w:rsidTr="000C2C42">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06F934A1" w14:textId="77777777" w:rsidR="00E21CF0" w:rsidRPr="0088338F" w:rsidRDefault="00E21CF0" w:rsidP="000D6109">
            <w:pPr>
              <w:ind w:left="170" w:hanging="170"/>
              <w:rPr>
                <w:rFonts w:ascii="Arial" w:hAnsi="Arial" w:cs="Arial"/>
                <w:sz w:val="20"/>
                <w:szCs w:val="20"/>
                <w:lang w:eastAsia="en-US"/>
              </w:rPr>
            </w:pPr>
            <w:r w:rsidRPr="0088338F">
              <w:rPr>
                <w:rFonts w:ascii="Arial" w:hAnsi="Arial" w:cs="Arial"/>
                <w:sz w:val="20"/>
                <w:szCs w:val="20"/>
                <w:lang w:eastAsia="en-US"/>
              </w:rPr>
              <w:t>(Zvýšenie)/zníženie stavu cenných papierov držaných do splatnosti</w:t>
            </w:r>
          </w:p>
        </w:tc>
        <w:tc>
          <w:tcPr>
            <w:tcW w:w="739" w:type="dxa"/>
            <w:tcBorders>
              <w:top w:val="nil"/>
              <w:left w:val="nil"/>
              <w:bottom w:val="single" w:sz="4" w:space="0" w:color="FFFFFF"/>
              <w:right w:val="single" w:sz="4" w:space="0" w:color="FFFFFF"/>
            </w:tcBorders>
            <w:shd w:val="clear" w:color="auto" w:fill="auto"/>
            <w:noWrap/>
            <w:vAlign w:val="bottom"/>
          </w:tcPr>
          <w:p w14:paraId="2164C468"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31CF7AEF" w14:textId="4952842B" w:rsidR="00E21CF0" w:rsidRPr="0088338F" w:rsidRDefault="00BC60C9" w:rsidP="00A45FE4">
            <w:pPr>
              <w:jc w:val="right"/>
              <w:rPr>
                <w:rFonts w:ascii="Arial" w:hAnsi="Arial" w:cs="Arial"/>
                <w:sz w:val="20"/>
                <w:szCs w:val="20"/>
                <w:lang w:eastAsia="en-US"/>
              </w:rPr>
            </w:pPr>
            <w:r w:rsidRPr="0088338F">
              <w:rPr>
                <w:rFonts w:ascii="Arial" w:hAnsi="Arial" w:cs="Arial"/>
                <w:sz w:val="20"/>
                <w:szCs w:val="20"/>
                <w:lang w:eastAsia="en-US"/>
              </w:rPr>
              <w:t>48 074</w:t>
            </w:r>
          </w:p>
        </w:tc>
        <w:tc>
          <w:tcPr>
            <w:tcW w:w="1239" w:type="dxa"/>
            <w:tcBorders>
              <w:top w:val="nil"/>
              <w:left w:val="nil"/>
              <w:bottom w:val="single" w:sz="4" w:space="0" w:color="FFFFFF"/>
              <w:right w:val="single" w:sz="4" w:space="0" w:color="FFFFFF"/>
            </w:tcBorders>
            <w:shd w:val="clear" w:color="auto" w:fill="auto"/>
            <w:noWrap/>
            <w:vAlign w:val="bottom"/>
          </w:tcPr>
          <w:p w14:paraId="7FAC02A7" w14:textId="7052AE67" w:rsidR="00E21CF0" w:rsidRPr="0088338F" w:rsidRDefault="00E21CF0" w:rsidP="00A45FE4">
            <w:pPr>
              <w:jc w:val="right"/>
              <w:rPr>
                <w:rFonts w:ascii="Arial" w:hAnsi="Arial" w:cs="Arial"/>
                <w:sz w:val="20"/>
                <w:szCs w:val="20"/>
                <w:lang w:eastAsia="en-US"/>
              </w:rPr>
            </w:pPr>
            <w:r w:rsidRPr="0088338F">
              <w:rPr>
                <w:rFonts w:ascii="Arial" w:hAnsi="Arial" w:cs="Arial"/>
                <w:sz w:val="20"/>
                <w:szCs w:val="20"/>
                <w:lang w:eastAsia="en-US"/>
              </w:rPr>
              <w:t>45 976</w:t>
            </w:r>
          </w:p>
        </w:tc>
      </w:tr>
      <w:tr w:rsidR="00E21CF0" w:rsidRPr="0088338F" w14:paraId="20FB6FD1"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583E87C1"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Nákup hmotného a nehmotného majetku</w:t>
            </w:r>
          </w:p>
        </w:tc>
        <w:tc>
          <w:tcPr>
            <w:tcW w:w="739" w:type="dxa"/>
            <w:tcBorders>
              <w:top w:val="nil"/>
              <w:left w:val="nil"/>
              <w:bottom w:val="single" w:sz="4" w:space="0" w:color="FFFFFF"/>
              <w:right w:val="single" w:sz="4" w:space="0" w:color="FFFFFF"/>
            </w:tcBorders>
            <w:shd w:val="clear" w:color="auto" w:fill="auto"/>
            <w:noWrap/>
            <w:vAlign w:val="bottom"/>
          </w:tcPr>
          <w:p w14:paraId="71EACAE1"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57761CC9" w14:textId="7DA5351E" w:rsidR="00E21CF0" w:rsidRPr="0088338F" w:rsidRDefault="00BC60C9" w:rsidP="000908F8">
            <w:pPr>
              <w:ind w:right="-57"/>
              <w:jc w:val="right"/>
              <w:rPr>
                <w:rFonts w:ascii="Arial" w:hAnsi="Arial" w:cs="Arial"/>
                <w:sz w:val="20"/>
                <w:szCs w:val="20"/>
                <w:lang w:eastAsia="en-US"/>
              </w:rPr>
            </w:pPr>
            <w:r w:rsidRPr="0088338F">
              <w:rPr>
                <w:rFonts w:ascii="Arial" w:hAnsi="Arial" w:cs="Arial"/>
                <w:sz w:val="20"/>
                <w:szCs w:val="20"/>
                <w:lang w:eastAsia="en-US"/>
              </w:rPr>
              <w:t>(376)</w:t>
            </w:r>
          </w:p>
        </w:tc>
        <w:tc>
          <w:tcPr>
            <w:tcW w:w="1239" w:type="dxa"/>
            <w:tcBorders>
              <w:top w:val="nil"/>
              <w:left w:val="nil"/>
              <w:bottom w:val="single" w:sz="4" w:space="0" w:color="FFFFFF"/>
              <w:right w:val="single" w:sz="4" w:space="0" w:color="FFFFFF"/>
            </w:tcBorders>
            <w:shd w:val="clear" w:color="auto" w:fill="auto"/>
            <w:noWrap/>
            <w:vAlign w:val="bottom"/>
          </w:tcPr>
          <w:p w14:paraId="693B3F62" w14:textId="37D8532A" w:rsidR="00E21CF0" w:rsidRPr="0088338F" w:rsidRDefault="00E21CF0" w:rsidP="000908F8">
            <w:pPr>
              <w:ind w:right="-57"/>
              <w:jc w:val="right"/>
              <w:rPr>
                <w:rFonts w:ascii="Arial" w:hAnsi="Arial" w:cs="Arial"/>
                <w:sz w:val="20"/>
                <w:szCs w:val="20"/>
                <w:lang w:eastAsia="en-US"/>
              </w:rPr>
            </w:pPr>
            <w:r w:rsidRPr="0088338F">
              <w:rPr>
                <w:rFonts w:ascii="Arial" w:hAnsi="Arial" w:cs="Arial"/>
                <w:sz w:val="20"/>
                <w:szCs w:val="20"/>
                <w:lang w:eastAsia="en-US"/>
              </w:rPr>
              <w:t>(232)</w:t>
            </w:r>
          </w:p>
        </w:tc>
      </w:tr>
      <w:tr w:rsidR="00E21CF0" w:rsidRPr="0088338F" w14:paraId="298A1869"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68FD56E7"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Predaj hmotného a nehmotného majetku</w:t>
            </w:r>
          </w:p>
        </w:tc>
        <w:tc>
          <w:tcPr>
            <w:tcW w:w="739" w:type="dxa"/>
            <w:tcBorders>
              <w:top w:val="nil"/>
              <w:left w:val="nil"/>
              <w:bottom w:val="single" w:sz="4" w:space="0" w:color="FFFFFF"/>
              <w:right w:val="single" w:sz="4" w:space="0" w:color="FFFFFF"/>
            </w:tcBorders>
            <w:shd w:val="clear" w:color="auto" w:fill="auto"/>
            <w:noWrap/>
            <w:vAlign w:val="bottom"/>
          </w:tcPr>
          <w:p w14:paraId="59FBBBAD"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295BBAEF" w14:textId="45F3B563" w:rsidR="00E21CF0" w:rsidRPr="0088338F" w:rsidRDefault="00BC60C9" w:rsidP="00A45FE4">
            <w:pPr>
              <w:jc w:val="right"/>
              <w:rPr>
                <w:rFonts w:ascii="Arial" w:hAnsi="Arial" w:cs="Arial"/>
                <w:sz w:val="20"/>
                <w:szCs w:val="20"/>
                <w:lang w:eastAsia="en-US"/>
              </w:rPr>
            </w:pPr>
            <w:r w:rsidRPr="0088338F">
              <w:rPr>
                <w:rFonts w:ascii="Arial" w:hAnsi="Arial" w:cs="Arial"/>
                <w:sz w:val="20"/>
                <w:szCs w:val="20"/>
                <w:lang w:eastAsia="en-US"/>
              </w:rPr>
              <w:t>5</w:t>
            </w:r>
          </w:p>
        </w:tc>
        <w:tc>
          <w:tcPr>
            <w:tcW w:w="1239" w:type="dxa"/>
            <w:tcBorders>
              <w:top w:val="nil"/>
              <w:left w:val="nil"/>
              <w:bottom w:val="single" w:sz="4" w:space="0" w:color="FFFFFF"/>
              <w:right w:val="single" w:sz="4" w:space="0" w:color="FFFFFF"/>
            </w:tcBorders>
            <w:shd w:val="clear" w:color="auto" w:fill="auto"/>
            <w:noWrap/>
            <w:vAlign w:val="bottom"/>
          </w:tcPr>
          <w:p w14:paraId="3F1F298F" w14:textId="442A46AD" w:rsidR="00E21CF0" w:rsidRPr="0088338F" w:rsidRDefault="00E21CF0" w:rsidP="00A45FE4">
            <w:pPr>
              <w:jc w:val="right"/>
              <w:rPr>
                <w:rFonts w:ascii="Arial" w:hAnsi="Arial" w:cs="Arial"/>
                <w:sz w:val="20"/>
                <w:szCs w:val="20"/>
                <w:lang w:eastAsia="en-US"/>
              </w:rPr>
            </w:pPr>
            <w:r w:rsidRPr="0088338F">
              <w:rPr>
                <w:rFonts w:ascii="Arial" w:hAnsi="Arial" w:cs="Arial"/>
                <w:sz w:val="20"/>
                <w:szCs w:val="20"/>
                <w:lang w:eastAsia="en-US"/>
              </w:rPr>
              <w:t>1</w:t>
            </w:r>
          </w:p>
        </w:tc>
      </w:tr>
      <w:tr w:rsidR="00E21CF0" w:rsidRPr="0088338F" w14:paraId="19D0AD8A" w14:textId="77777777" w:rsidTr="002B3BCE">
        <w:trPr>
          <w:trHeight w:val="255"/>
        </w:trPr>
        <w:tc>
          <w:tcPr>
            <w:tcW w:w="6052" w:type="dxa"/>
            <w:tcBorders>
              <w:top w:val="single" w:sz="4" w:space="0" w:color="auto"/>
              <w:left w:val="single" w:sz="4" w:space="0" w:color="FFFFFF"/>
              <w:bottom w:val="single" w:sz="4" w:space="0" w:color="FFFFFF"/>
              <w:right w:val="single" w:sz="4" w:space="0" w:color="FFFFFF"/>
            </w:tcBorders>
            <w:shd w:val="clear" w:color="auto" w:fill="auto"/>
            <w:noWrap/>
            <w:vAlign w:val="bottom"/>
          </w:tcPr>
          <w:p w14:paraId="31D7363C" w14:textId="77777777" w:rsidR="00E21CF0" w:rsidRPr="0088338F" w:rsidRDefault="00E21CF0" w:rsidP="00410E96">
            <w:pPr>
              <w:rPr>
                <w:rFonts w:ascii="Arial" w:hAnsi="Arial" w:cs="Arial"/>
                <w:b/>
                <w:bCs/>
                <w:sz w:val="20"/>
                <w:szCs w:val="20"/>
                <w:lang w:eastAsia="en-US"/>
              </w:rPr>
            </w:pPr>
            <w:r w:rsidRPr="0088338F">
              <w:rPr>
                <w:rFonts w:ascii="Arial" w:hAnsi="Arial" w:cs="Arial"/>
                <w:b/>
                <w:bCs/>
                <w:sz w:val="20"/>
                <w:szCs w:val="20"/>
                <w:lang w:eastAsia="en-US"/>
              </w:rPr>
              <w:t>Čisté peňažné toky z investičných činností</w:t>
            </w:r>
          </w:p>
        </w:tc>
        <w:tc>
          <w:tcPr>
            <w:tcW w:w="739" w:type="dxa"/>
            <w:tcBorders>
              <w:top w:val="single" w:sz="4" w:space="0" w:color="auto"/>
              <w:left w:val="nil"/>
              <w:bottom w:val="single" w:sz="4" w:space="0" w:color="FFFFFF"/>
              <w:right w:val="single" w:sz="4" w:space="0" w:color="FFFFFF"/>
            </w:tcBorders>
            <w:shd w:val="clear" w:color="auto" w:fill="auto"/>
            <w:noWrap/>
            <w:vAlign w:val="bottom"/>
          </w:tcPr>
          <w:p w14:paraId="28485737" w14:textId="77777777" w:rsidR="00E21CF0" w:rsidRPr="0088338F" w:rsidRDefault="00E21CF0" w:rsidP="00A45FE4">
            <w:pPr>
              <w:jc w:val="center"/>
              <w:rPr>
                <w:rFonts w:ascii="Arial" w:hAnsi="Arial" w:cs="Arial"/>
                <w:sz w:val="20"/>
                <w:szCs w:val="20"/>
                <w:lang w:eastAsia="en-US"/>
              </w:rPr>
            </w:pPr>
          </w:p>
        </w:tc>
        <w:tc>
          <w:tcPr>
            <w:tcW w:w="1239" w:type="dxa"/>
            <w:tcBorders>
              <w:top w:val="single" w:sz="4" w:space="0" w:color="auto"/>
              <w:left w:val="nil"/>
              <w:bottom w:val="single" w:sz="4" w:space="0" w:color="FFFFFF"/>
              <w:right w:val="single" w:sz="4" w:space="0" w:color="FFFFFF"/>
            </w:tcBorders>
            <w:shd w:val="clear" w:color="auto" w:fill="auto"/>
            <w:noWrap/>
            <w:vAlign w:val="bottom"/>
          </w:tcPr>
          <w:p w14:paraId="7A46B464" w14:textId="3182699D" w:rsidR="00E21CF0" w:rsidRPr="0088338F" w:rsidRDefault="00BC60C9" w:rsidP="00A45FE4">
            <w:pPr>
              <w:jc w:val="right"/>
              <w:rPr>
                <w:rFonts w:ascii="Arial" w:hAnsi="Arial" w:cs="Arial"/>
                <w:b/>
                <w:sz w:val="20"/>
                <w:szCs w:val="20"/>
                <w:lang w:eastAsia="en-US"/>
              </w:rPr>
            </w:pPr>
            <w:r w:rsidRPr="0088338F">
              <w:rPr>
                <w:rFonts w:ascii="Arial" w:hAnsi="Arial" w:cs="Arial"/>
                <w:b/>
                <w:sz w:val="20"/>
                <w:szCs w:val="20"/>
                <w:lang w:eastAsia="en-US"/>
              </w:rPr>
              <w:t>47 703</w:t>
            </w:r>
          </w:p>
        </w:tc>
        <w:tc>
          <w:tcPr>
            <w:tcW w:w="1239" w:type="dxa"/>
            <w:tcBorders>
              <w:top w:val="single" w:sz="4" w:space="0" w:color="auto"/>
              <w:left w:val="nil"/>
              <w:bottom w:val="single" w:sz="4" w:space="0" w:color="FFFFFF"/>
              <w:right w:val="single" w:sz="4" w:space="0" w:color="FFFFFF"/>
            </w:tcBorders>
            <w:shd w:val="clear" w:color="auto" w:fill="auto"/>
            <w:noWrap/>
            <w:vAlign w:val="bottom"/>
          </w:tcPr>
          <w:p w14:paraId="05835140" w14:textId="2E270515" w:rsidR="00E21CF0" w:rsidRPr="0088338F" w:rsidRDefault="00E21CF0" w:rsidP="00A45FE4">
            <w:pPr>
              <w:jc w:val="right"/>
              <w:rPr>
                <w:rFonts w:ascii="Arial" w:hAnsi="Arial" w:cs="Arial"/>
                <w:b/>
                <w:sz w:val="20"/>
                <w:szCs w:val="20"/>
                <w:lang w:eastAsia="en-US"/>
              </w:rPr>
            </w:pPr>
            <w:r w:rsidRPr="0088338F">
              <w:rPr>
                <w:rFonts w:ascii="Arial" w:hAnsi="Arial" w:cs="Arial"/>
                <w:b/>
                <w:sz w:val="20"/>
                <w:szCs w:val="20"/>
                <w:lang w:eastAsia="en-US"/>
              </w:rPr>
              <w:t>45 745</w:t>
            </w:r>
          </w:p>
        </w:tc>
      </w:tr>
      <w:tr w:rsidR="00E21CF0" w:rsidRPr="0088338F" w14:paraId="1CE182D1"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759E3DD4"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 </w:t>
            </w:r>
          </w:p>
        </w:tc>
        <w:tc>
          <w:tcPr>
            <w:tcW w:w="739" w:type="dxa"/>
            <w:tcBorders>
              <w:top w:val="nil"/>
              <w:left w:val="nil"/>
              <w:bottom w:val="single" w:sz="4" w:space="0" w:color="FFFFFF"/>
              <w:right w:val="single" w:sz="4" w:space="0" w:color="FFFFFF"/>
            </w:tcBorders>
            <w:shd w:val="clear" w:color="auto" w:fill="auto"/>
            <w:noWrap/>
            <w:vAlign w:val="bottom"/>
          </w:tcPr>
          <w:p w14:paraId="52B6DEC8"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4C8D86BB" w14:textId="77777777" w:rsidR="00E21CF0" w:rsidRPr="0088338F" w:rsidRDefault="00E21CF0" w:rsidP="00A45FE4">
            <w:pPr>
              <w:jc w:val="right"/>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6C76993C" w14:textId="77777777" w:rsidR="00E21CF0" w:rsidRPr="0088338F" w:rsidRDefault="00E21CF0" w:rsidP="00A45FE4">
            <w:pPr>
              <w:jc w:val="right"/>
              <w:rPr>
                <w:rFonts w:ascii="Arial" w:hAnsi="Arial" w:cs="Arial"/>
                <w:sz w:val="20"/>
                <w:szCs w:val="20"/>
                <w:lang w:eastAsia="en-US"/>
              </w:rPr>
            </w:pPr>
          </w:p>
        </w:tc>
      </w:tr>
      <w:tr w:rsidR="00E21CF0" w:rsidRPr="0088338F" w14:paraId="1C7D6F96"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126454AF" w14:textId="77777777" w:rsidR="00E21CF0" w:rsidRPr="0088338F" w:rsidRDefault="00E21CF0" w:rsidP="00410E96">
            <w:pPr>
              <w:rPr>
                <w:rFonts w:ascii="Arial" w:hAnsi="Arial" w:cs="Arial"/>
                <w:b/>
                <w:bCs/>
                <w:sz w:val="20"/>
                <w:szCs w:val="20"/>
                <w:lang w:eastAsia="en-US"/>
              </w:rPr>
            </w:pPr>
            <w:r w:rsidRPr="0088338F">
              <w:rPr>
                <w:rFonts w:ascii="Arial" w:hAnsi="Arial" w:cs="Arial"/>
                <w:b/>
                <w:bCs/>
                <w:sz w:val="20"/>
                <w:szCs w:val="20"/>
                <w:lang w:eastAsia="en-US"/>
              </w:rPr>
              <w:t>Peňažné toky z finančných činností</w:t>
            </w:r>
          </w:p>
        </w:tc>
        <w:tc>
          <w:tcPr>
            <w:tcW w:w="739" w:type="dxa"/>
            <w:tcBorders>
              <w:top w:val="nil"/>
              <w:left w:val="nil"/>
              <w:bottom w:val="single" w:sz="4" w:space="0" w:color="FFFFFF"/>
              <w:right w:val="single" w:sz="4" w:space="0" w:color="FFFFFF"/>
            </w:tcBorders>
            <w:shd w:val="clear" w:color="auto" w:fill="auto"/>
            <w:noWrap/>
            <w:vAlign w:val="bottom"/>
          </w:tcPr>
          <w:p w14:paraId="2E117F5D"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right w:val="single" w:sz="4" w:space="0" w:color="FFFFFF"/>
            </w:tcBorders>
            <w:shd w:val="clear" w:color="auto" w:fill="auto"/>
            <w:noWrap/>
            <w:vAlign w:val="bottom"/>
          </w:tcPr>
          <w:p w14:paraId="704FD8B1" w14:textId="77777777" w:rsidR="00E21CF0" w:rsidRPr="0088338F" w:rsidRDefault="00E21CF0" w:rsidP="00A45FE4">
            <w:pPr>
              <w:jc w:val="right"/>
              <w:rPr>
                <w:rFonts w:ascii="Arial" w:hAnsi="Arial" w:cs="Arial"/>
                <w:sz w:val="20"/>
                <w:szCs w:val="20"/>
                <w:lang w:eastAsia="en-US"/>
              </w:rPr>
            </w:pPr>
          </w:p>
        </w:tc>
        <w:tc>
          <w:tcPr>
            <w:tcW w:w="1239" w:type="dxa"/>
            <w:tcBorders>
              <w:top w:val="nil"/>
              <w:left w:val="nil"/>
              <w:right w:val="single" w:sz="4" w:space="0" w:color="FFFFFF"/>
            </w:tcBorders>
            <w:shd w:val="clear" w:color="auto" w:fill="auto"/>
            <w:noWrap/>
            <w:vAlign w:val="bottom"/>
          </w:tcPr>
          <w:p w14:paraId="4238EA33" w14:textId="77777777" w:rsidR="00E21CF0" w:rsidRPr="0088338F" w:rsidRDefault="00E21CF0" w:rsidP="00A45FE4">
            <w:pPr>
              <w:jc w:val="right"/>
              <w:rPr>
                <w:rFonts w:ascii="Arial" w:hAnsi="Arial" w:cs="Arial"/>
                <w:sz w:val="20"/>
                <w:szCs w:val="20"/>
                <w:lang w:eastAsia="en-US"/>
              </w:rPr>
            </w:pPr>
          </w:p>
        </w:tc>
      </w:tr>
      <w:tr w:rsidR="00E21CF0" w:rsidRPr="0088338F" w14:paraId="2C3A48FD" w14:textId="77777777" w:rsidTr="002B3BCE">
        <w:trPr>
          <w:trHeight w:val="255"/>
        </w:trPr>
        <w:tc>
          <w:tcPr>
            <w:tcW w:w="6052" w:type="dxa"/>
            <w:tcBorders>
              <w:top w:val="nil"/>
              <w:left w:val="single" w:sz="4" w:space="0" w:color="FFFFFF"/>
              <w:bottom w:val="nil"/>
              <w:right w:val="single" w:sz="4" w:space="0" w:color="FFFFFF"/>
            </w:tcBorders>
            <w:shd w:val="clear" w:color="auto" w:fill="auto"/>
            <w:noWrap/>
            <w:vAlign w:val="bottom"/>
          </w:tcPr>
          <w:p w14:paraId="132E84CB"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Zvýšenie stavu pri emisii dlhodobých dlhových CP - dlhopisy</w:t>
            </w:r>
          </w:p>
        </w:tc>
        <w:tc>
          <w:tcPr>
            <w:tcW w:w="739" w:type="dxa"/>
            <w:tcBorders>
              <w:top w:val="nil"/>
              <w:left w:val="nil"/>
              <w:bottom w:val="nil"/>
            </w:tcBorders>
            <w:shd w:val="clear" w:color="auto" w:fill="auto"/>
            <w:noWrap/>
            <w:vAlign w:val="bottom"/>
          </w:tcPr>
          <w:p w14:paraId="7AA9152B" w14:textId="77777777" w:rsidR="00E21CF0" w:rsidRPr="0088338F" w:rsidRDefault="00E21CF0" w:rsidP="00A45FE4">
            <w:pPr>
              <w:jc w:val="center"/>
              <w:rPr>
                <w:rFonts w:ascii="Arial" w:hAnsi="Arial" w:cs="Arial"/>
                <w:sz w:val="20"/>
                <w:szCs w:val="20"/>
                <w:lang w:eastAsia="en-US"/>
              </w:rPr>
            </w:pPr>
          </w:p>
        </w:tc>
        <w:tc>
          <w:tcPr>
            <w:tcW w:w="1239" w:type="dxa"/>
            <w:shd w:val="clear" w:color="auto" w:fill="auto"/>
            <w:noWrap/>
            <w:vAlign w:val="bottom"/>
          </w:tcPr>
          <w:p w14:paraId="439E0004" w14:textId="731A6CEC" w:rsidR="00E21CF0" w:rsidRPr="0088338F" w:rsidRDefault="00BC60C9" w:rsidP="00A45FE4">
            <w:pPr>
              <w:jc w:val="right"/>
              <w:rPr>
                <w:rFonts w:ascii="Arial" w:hAnsi="Arial" w:cs="Arial"/>
                <w:sz w:val="20"/>
                <w:szCs w:val="20"/>
                <w:lang w:eastAsia="en-US"/>
              </w:rPr>
            </w:pPr>
            <w:r w:rsidRPr="0088338F">
              <w:rPr>
                <w:rFonts w:ascii="Arial" w:hAnsi="Arial" w:cs="Arial"/>
                <w:sz w:val="20"/>
                <w:szCs w:val="20"/>
                <w:lang w:eastAsia="en-US"/>
              </w:rPr>
              <w:t>334</w:t>
            </w:r>
          </w:p>
        </w:tc>
        <w:tc>
          <w:tcPr>
            <w:tcW w:w="1239" w:type="dxa"/>
            <w:shd w:val="clear" w:color="auto" w:fill="auto"/>
            <w:noWrap/>
            <w:vAlign w:val="bottom"/>
          </w:tcPr>
          <w:p w14:paraId="1F737ACA" w14:textId="16BD5607" w:rsidR="00E21CF0" w:rsidRPr="0088338F" w:rsidRDefault="00E21CF0" w:rsidP="00A45FE4">
            <w:pPr>
              <w:jc w:val="right"/>
              <w:rPr>
                <w:rFonts w:ascii="Arial" w:hAnsi="Arial" w:cs="Arial"/>
                <w:sz w:val="20"/>
                <w:szCs w:val="20"/>
                <w:lang w:eastAsia="en-US"/>
              </w:rPr>
            </w:pPr>
            <w:r w:rsidRPr="0088338F">
              <w:rPr>
                <w:rFonts w:ascii="Arial" w:hAnsi="Arial" w:cs="Arial"/>
                <w:sz w:val="20"/>
                <w:szCs w:val="20"/>
                <w:lang w:eastAsia="en-US"/>
              </w:rPr>
              <w:t>4 662</w:t>
            </w:r>
          </w:p>
        </w:tc>
      </w:tr>
      <w:tr w:rsidR="00E21CF0" w:rsidRPr="0088338F" w14:paraId="49DB29F6" w14:textId="77777777" w:rsidTr="002B3BCE">
        <w:trPr>
          <w:trHeight w:val="255"/>
        </w:trPr>
        <w:tc>
          <w:tcPr>
            <w:tcW w:w="6052" w:type="dxa"/>
            <w:tcBorders>
              <w:top w:val="nil"/>
              <w:left w:val="single" w:sz="4" w:space="0" w:color="FFFFFF"/>
              <w:bottom w:val="nil"/>
              <w:right w:val="single" w:sz="4" w:space="0" w:color="FFFFFF"/>
            </w:tcBorders>
            <w:shd w:val="clear" w:color="auto" w:fill="auto"/>
            <w:noWrap/>
            <w:vAlign w:val="bottom"/>
          </w:tcPr>
          <w:p w14:paraId="530ECED3" w14:textId="1A432BBF" w:rsidR="00E21CF0" w:rsidRPr="0088338F" w:rsidRDefault="00512E74" w:rsidP="00410E96">
            <w:pPr>
              <w:rPr>
                <w:rFonts w:ascii="Arial" w:hAnsi="Arial" w:cs="Arial"/>
                <w:sz w:val="20"/>
                <w:szCs w:val="20"/>
                <w:lang w:eastAsia="en-US"/>
              </w:rPr>
            </w:pPr>
            <w:r w:rsidRPr="0088338F">
              <w:rPr>
                <w:rFonts w:ascii="Arial" w:hAnsi="Arial" w:cs="Arial"/>
                <w:sz w:val="20"/>
                <w:szCs w:val="20"/>
                <w:lang w:eastAsia="en-US"/>
              </w:rPr>
              <w:t>Zníženie stavu pri splatnosti a spätných odkupoch dlhodobých dlhových CP - dlhopisy</w:t>
            </w:r>
          </w:p>
        </w:tc>
        <w:tc>
          <w:tcPr>
            <w:tcW w:w="739" w:type="dxa"/>
            <w:tcBorders>
              <w:top w:val="nil"/>
              <w:left w:val="nil"/>
              <w:bottom w:val="nil"/>
            </w:tcBorders>
            <w:shd w:val="clear" w:color="auto" w:fill="auto"/>
            <w:noWrap/>
            <w:vAlign w:val="bottom"/>
          </w:tcPr>
          <w:p w14:paraId="7A216857" w14:textId="77777777" w:rsidR="00E21CF0" w:rsidRPr="0088338F" w:rsidRDefault="00E21CF0" w:rsidP="00A45FE4">
            <w:pPr>
              <w:jc w:val="center"/>
              <w:rPr>
                <w:rFonts w:ascii="Arial" w:hAnsi="Arial" w:cs="Arial"/>
                <w:sz w:val="20"/>
                <w:szCs w:val="20"/>
                <w:lang w:eastAsia="en-US"/>
              </w:rPr>
            </w:pPr>
          </w:p>
        </w:tc>
        <w:tc>
          <w:tcPr>
            <w:tcW w:w="1239" w:type="dxa"/>
            <w:shd w:val="clear" w:color="auto" w:fill="auto"/>
            <w:noWrap/>
            <w:vAlign w:val="bottom"/>
          </w:tcPr>
          <w:p w14:paraId="6EACBCD3" w14:textId="5BA76553" w:rsidR="00E21CF0" w:rsidRPr="0088338F" w:rsidRDefault="00BC60C9" w:rsidP="000908F8">
            <w:pPr>
              <w:ind w:right="-57"/>
              <w:jc w:val="right"/>
              <w:rPr>
                <w:rFonts w:ascii="Arial" w:hAnsi="Arial" w:cs="Arial"/>
                <w:sz w:val="20"/>
                <w:szCs w:val="20"/>
                <w:lang w:eastAsia="en-US"/>
              </w:rPr>
            </w:pPr>
            <w:r w:rsidRPr="0088338F">
              <w:rPr>
                <w:rFonts w:ascii="Arial" w:hAnsi="Arial" w:cs="Arial"/>
                <w:sz w:val="20"/>
                <w:szCs w:val="20"/>
                <w:lang w:eastAsia="en-US"/>
              </w:rPr>
              <w:t>(10 349)</w:t>
            </w:r>
          </w:p>
        </w:tc>
        <w:tc>
          <w:tcPr>
            <w:tcW w:w="1239" w:type="dxa"/>
            <w:shd w:val="clear" w:color="auto" w:fill="auto"/>
            <w:noWrap/>
            <w:vAlign w:val="bottom"/>
          </w:tcPr>
          <w:p w14:paraId="73D4E828" w14:textId="468A994C" w:rsidR="00E21CF0" w:rsidRPr="0088338F" w:rsidRDefault="00E21CF0" w:rsidP="000908F8">
            <w:pPr>
              <w:ind w:right="-57"/>
              <w:jc w:val="right"/>
              <w:rPr>
                <w:rFonts w:ascii="Arial" w:hAnsi="Arial" w:cs="Arial"/>
                <w:sz w:val="20"/>
                <w:szCs w:val="20"/>
                <w:lang w:eastAsia="en-US"/>
              </w:rPr>
            </w:pPr>
            <w:r w:rsidRPr="0088338F">
              <w:rPr>
                <w:rFonts w:ascii="Arial" w:hAnsi="Arial" w:cs="Arial"/>
                <w:sz w:val="20"/>
                <w:szCs w:val="20"/>
                <w:lang w:eastAsia="en-US"/>
              </w:rPr>
              <w:t>(3 000)</w:t>
            </w:r>
          </w:p>
        </w:tc>
      </w:tr>
      <w:tr w:rsidR="00E21CF0" w:rsidRPr="0088338F" w14:paraId="5EDFD021" w14:textId="77777777" w:rsidTr="002B3BCE">
        <w:trPr>
          <w:trHeight w:val="255"/>
        </w:trPr>
        <w:tc>
          <w:tcPr>
            <w:tcW w:w="6052" w:type="dxa"/>
            <w:tcBorders>
              <w:top w:val="single" w:sz="4" w:space="0" w:color="auto"/>
              <w:left w:val="single" w:sz="4" w:space="0" w:color="FFFFFF"/>
              <w:bottom w:val="single" w:sz="4" w:space="0" w:color="FFFFFF"/>
              <w:right w:val="single" w:sz="4" w:space="0" w:color="FFFFFF"/>
            </w:tcBorders>
            <w:shd w:val="clear" w:color="auto" w:fill="auto"/>
            <w:noWrap/>
            <w:vAlign w:val="bottom"/>
          </w:tcPr>
          <w:p w14:paraId="77E59DB4" w14:textId="77777777" w:rsidR="00E21CF0" w:rsidRPr="0088338F" w:rsidRDefault="00E21CF0" w:rsidP="00410E96">
            <w:pPr>
              <w:rPr>
                <w:rFonts w:ascii="Arial" w:hAnsi="Arial" w:cs="Arial"/>
                <w:b/>
                <w:bCs/>
                <w:sz w:val="20"/>
                <w:szCs w:val="20"/>
                <w:lang w:eastAsia="en-US"/>
              </w:rPr>
            </w:pPr>
            <w:r w:rsidRPr="0088338F">
              <w:rPr>
                <w:rFonts w:ascii="Arial" w:hAnsi="Arial" w:cs="Arial"/>
                <w:b/>
                <w:bCs/>
                <w:sz w:val="20"/>
                <w:szCs w:val="20"/>
                <w:lang w:eastAsia="en-US"/>
              </w:rPr>
              <w:t>Čisté peňažné toky z finančných činností</w:t>
            </w:r>
          </w:p>
        </w:tc>
        <w:tc>
          <w:tcPr>
            <w:tcW w:w="739" w:type="dxa"/>
            <w:tcBorders>
              <w:top w:val="single" w:sz="4" w:space="0" w:color="auto"/>
              <w:left w:val="nil"/>
              <w:bottom w:val="single" w:sz="4" w:space="0" w:color="FFFFFF"/>
              <w:right w:val="single" w:sz="4" w:space="0" w:color="FFFFFF"/>
            </w:tcBorders>
            <w:shd w:val="clear" w:color="auto" w:fill="auto"/>
            <w:noWrap/>
            <w:vAlign w:val="bottom"/>
          </w:tcPr>
          <w:p w14:paraId="3EDFEC57" w14:textId="77777777" w:rsidR="00E21CF0" w:rsidRPr="0088338F" w:rsidRDefault="00E21CF0" w:rsidP="00A45FE4">
            <w:pPr>
              <w:jc w:val="center"/>
              <w:rPr>
                <w:rFonts w:ascii="Arial" w:hAnsi="Arial" w:cs="Arial"/>
                <w:sz w:val="20"/>
                <w:szCs w:val="20"/>
                <w:lang w:eastAsia="en-US"/>
              </w:rPr>
            </w:pPr>
          </w:p>
        </w:tc>
        <w:tc>
          <w:tcPr>
            <w:tcW w:w="1239" w:type="dxa"/>
            <w:tcBorders>
              <w:top w:val="single" w:sz="4" w:space="0" w:color="auto"/>
              <w:left w:val="nil"/>
              <w:bottom w:val="nil"/>
              <w:right w:val="single" w:sz="4" w:space="0" w:color="FFFFFF"/>
            </w:tcBorders>
            <w:shd w:val="clear" w:color="auto" w:fill="auto"/>
            <w:noWrap/>
            <w:vAlign w:val="bottom"/>
          </w:tcPr>
          <w:p w14:paraId="2F7A9974" w14:textId="7032FF0D" w:rsidR="00E21CF0" w:rsidRPr="0088338F" w:rsidRDefault="00BC60C9" w:rsidP="000908F8">
            <w:pPr>
              <w:ind w:right="-57"/>
              <w:jc w:val="right"/>
              <w:rPr>
                <w:rFonts w:ascii="Arial" w:hAnsi="Arial" w:cs="Arial"/>
                <w:b/>
                <w:sz w:val="20"/>
                <w:szCs w:val="20"/>
                <w:lang w:eastAsia="en-US"/>
              </w:rPr>
            </w:pPr>
            <w:r w:rsidRPr="0088338F">
              <w:rPr>
                <w:rFonts w:ascii="Arial" w:hAnsi="Arial" w:cs="Arial"/>
                <w:b/>
                <w:sz w:val="20"/>
                <w:szCs w:val="20"/>
                <w:lang w:eastAsia="en-US"/>
              </w:rPr>
              <w:t>(10 015)</w:t>
            </w:r>
          </w:p>
        </w:tc>
        <w:tc>
          <w:tcPr>
            <w:tcW w:w="1239" w:type="dxa"/>
            <w:tcBorders>
              <w:top w:val="single" w:sz="4" w:space="0" w:color="auto"/>
              <w:left w:val="nil"/>
              <w:bottom w:val="nil"/>
              <w:right w:val="single" w:sz="4" w:space="0" w:color="FFFFFF"/>
            </w:tcBorders>
            <w:shd w:val="clear" w:color="auto" w:fill="auto"/>
            <w:noWrap/>
            <w:vAlign w:val="bottom"/>
          </w:tcPr>
          <w:p w14:paraId="0D5DB46F" w14:textId="6B95B6DB" w:rsidR="00E21CF0" w:rsidRPr="0088338F" w:rsidRDefault="00E21CF0" w:rsidP="00A45FE4">
            <w:pPr>
              <w:ind w:right="-57"/>
              <w:jc w:val="right"/>
              <w:rPr>
                <w:rFonts w:ascii="Arial" w:hAnsi="Arial" w:cs="Arial"/>
                <w:b/>
                <w:sz w:val="20"/>
                <w:szCs w:val="20"/>
                <w:lang w:eastAsia="en-US"/>
              </w:rPr>
            </w:pPr>
            <w:r w:rsidRPr="0088338F">
              <w:rPr>
                <w:rFonts w:ascii="Arial" w:hAnsi="Arial" w:cs="Arial"/>
                <w:b/>
                <w:sz w:val="20"/>
                <w:szCs w:val="20"/>
                <w:lang w:eastAsia="en-US"/>
              </w:rPr>
              <w:t>1 662</w:t>
            </w:r>
          </w:p>
        </w:tc>
      </w:tr>
      <w:tr w:rsidR="00E21CF0" w:rsidRPr="0088338F" w14:paraId="1C5325A7"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4B40589B"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 </w:t>
            </w:r>
          </w:p>
        </w:tc>
        <w:tc>
          <w:tcPr>
            <w:tcW w:w="739" w:type="dxa"/>
            <w:tcBorders>
              <w:top w:val="nil"/>
              <w:left w:val="nil"/>
              <w:bottom w:val="single" w:sz="4" w:space="0" w:color="FFFFFF"/>
              <w:right w:val="single" w:sz="4" w:space="0" w:color="FFFFFF"/>
            </w:tcBorders>
            <w:shd w:val="clear" w:color="auto" w:fill="auto"/>
            <w:noWrap/>
            <w:vAlign w:val="bottom"/>
          </w:tcPr>
          <w:p w14:paraId="7E940B3F"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10806108" w14:textId="77777777" w:rsidR="00E21CF0" w:rsidRPr="0088338F" w:rsidRDefault="00E21CF0" w:rsidP="00A45FE4">
            <w:pPr>
              <w:jc w:val="right"/>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28172E2C" w14:textId="77777777" w:rsidR="00E21CF0" w:rsidRPr="0088338F" w:rsidRDefault="00E21CF0" w:rsidP="00A45FE4">
            <w:pPr>
              <w:jc w:val="right"/>
              <w:rPr>
                <w:rFonts w:ascii="Arial" w:hAnsi="Arial" w:cs="Arial"/>
                <w:sz w:val="20"/>
                <w:szCs w:val="20"/>
                <w:lang w:eastAsia="en-US"/>
              </w:rPr>
            </w:pPr>
          </w:p>
        </w:tc>
      </w:tr>
      <w:tr w:rsidR="00E21CF0" w:rsidRPr="0088338F" w14:paraId="186B330F" w14:textId="77777777" w:rsidTr="002B3BCE">
        <w:trPr>
          <w:trHeight w:val="510"/>
        </w:trPr>
        <w:tc>
          <w:tcPr>
            <w:tcW w:w="6052" w:type="dxa"/>
            <w:tcBorders>
              <w:top w:val="nil"/>
              <w:left w:val="single" w:sz="4" w:space="0" w:color="FFFFFF"/>
              <w:bottom w:val="single" w:sz="4" w:space="0" w:color="FFFFFF"/>
              <w:right w:val="single" w:sz="4" w:space="0" w:color="FFFFFF"/>
            </w:tcBorders>
            <w:shd w:val="clear" w:color="auto" w:fill="auto"/>
            <w:vAlign w:val="bottom"/>
          </w:tcPr>
          <w:p w14:paraId="3CD83F13" w14:textId="77777777" w:rsidR="00E21CF0" w:rsidRPr="0088338F" w:rsidRDefault="00E21CF0" w:rsidP="009846F8">
            <w:pPr>
              <w:ind w:left="181" w:hanging="181"/>
              <w:rPr>
                <w:rFonts w:ascii="Arial" w:hAnsi="Arial" w:cs="Arial"/>
                <w:b/>
                <w:bCs/>
                <w:sz w:val="20"/>
                <w:szCs w:val="20"/>
                <w:lang w:eastAsia="en-US"/>
              </w:rPr>
            </w:pPr>
            <w:r w:rsidRPr="0088338F">
              <w:rPr>
                <w:rFonts w:ascii="Arial" w:hAnsi="Arial" w:cs="Arial"/>
                <w:b/>
                <w:sz w:val="20"/>
                <w:szCs w:val="20"/>
                <w:lang w:eastAsia="en-US"/>
              </w:rPr>
              <w:t xml:space="preserve">Čisté zvýšenie peňažných prostriedkov a ich ekvivalentov </w:t>
            </w:r>
          </w:p>
        </w:tc>
        <w:tc>
          <w:tcPr>
            <w:tcW w:w="739" w:type="dxa"/>
            <w:tcBorders>
              <w:top w:val="nil"/>
              <w:left w:val="nil"/>
              <w:bottom w:val="single" w:sz="4" w:space="0" w:color="FFFFFF"/>
              <w:right w:val="single" w:sz="4" w:space="0" w:color="FFFFFF"/>
            </w:tcBorders>
            <w:shd w:val="clear" w:color="auto" w:fill="auto"/>
            <w:noWrap/>
            <w:vAlign w:val="bottom"/>
          </w:tcPr>
          <w:p w14:paraId="4EF899B6"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322DC4D8" w14:textId="6F6F9C4B" w:rsidR="00E21CF0" w:rsidRPr="0088338F" w:rsidRDefault="00BC60C9" w:rsidP="00A45FE4">
            <w:pPr>
              <w:jc w:val="right"/>
              <w:rPr>
                <w:rFonts w:ascii="Arial" w:hAnsi="Arial" w:cs="Arial"/>
                <w:b/>
                <w:sz w:val="20"/>
                <w:szCs w:val="20"/>
                <w:lang w:eastAsia="en-US"/>
              </w:rPr>
            </w:pPr>
            <w:r w:rsidRPr="0088338F">
              <w:rPr>
                <w:rFonts w:ascii="Arial" w:hAnsi="Arial" w:cs="Arial"/>
                <w:b/>
                <w:sz w:val="20"/>
                <w:szCs w:val="20"/>
                <w:lang w:eastAsia="en-US"/>
              </w:rPr>
              <w:t>672</w:t>
            </w:r>
          </w:p>
        </w:tc>
        <w:tc>
          <w:tcPr>
            <w:tcW w:w="1239" w:type="dxa"/>
            <w:tcBorders>
              <w:top w:val="nil"/>
              <w:left w:val="nil"/>
              <w:bottom w:val="single" w:sz="4" w:space="0" w:color="FFFFFF"/>
              <w:right w:val="single" w:sz="4" w:space="0" w:color="FFFFFF"/>
            </w:tcBorders>
            <w:shd w:val="clear" w:color="auto" w:fill="auto"/>
            <w:noWrap/>
            <w:vAlign w:val="bottom"/>
          </w:tcPr>
          <w:p w14:paraId="20E55143" w14:textId="11462305" w:rsidR="00E21CF0" w:rsidRPr="0088338F" w:rsidRDefault="00E21CF0" w:rsidP="00A45FE4">
            <w:pPr>
              <w:ind w:right="-57"/>
              <w:jc w:val="right"/>
              <w:rPr>
                <w:rFonts w:ascii="Arial" w:hAnsi="Arial" w:cs="Arial"/>
                <w:b/>
                <w:sz w:val="20"/>
                <w:szCs w:val="20"/>
                <w:lang w:eastAsia="en-US"/>
              </w:rPr>
            </w:pPr>
            <w:r w:rsidRPr="0088338F">
              <w:rPr>
                <w:rFonts w:ascii="Arial" w:hAnsi="Arial" w:cs="Arial"/>
                <w:b/>
                <w:sz w:val="20"/>
                <w:szCs w:val="20"/>
                <w:lang w:eastAsia="en-US"/>
              </w:rPr>
              <w:t>7 904</w:t>
            </w:r>
          </w:p>
        </w:tc>
      </w:tr>
      <w:tr w:rsidR="00E21CF0" w:rsidRPr="0088338F" w14:paraId="7302D433"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6392975F" w14:textId="77777777" w:rsidR="00E21CF0" w:rsidRPr="0088338F" w:rsidRDefault="00E21CF0" w:rsidP="00410E96">
            <w:pPr>
              <w:rPr>
                <w:rFonts w:ascii="Arial" w:hAnsi="Arial" w:cs="Arial"/>
                <w:sz w:val="20"/>
                <w:szCs w:val="20"/>
                <w:lang w:eastAsia="en-US"/>
              </w:rPr>
            </w:pPr>
            <w:r w:rsidRPr="0088338F">
              <w:rPr>
                <w:rFonts w:ascii="Arial" w:hAnsi="Arial" w:cs="Arial"/>
                <w:sz w:val="20"/>
                <w:szCs w:val="20"/>
                <w:lang w:eastAsia="en-US"/>
              </w:rPr>
              <w:t> </w:t>
            </w:r>
          </w:p>
        </w:tc>
        <w:tc>
          <w:tcPr>
            <w:tcW w:w="739" w:type="dxa"/>
            <w:tcBorders>
              <w:top w:val="nil"/>
              <w:left w:val="nil"/>
              <w:bottom w:val="single" w:sz="4" w:space="0" w:color="FFFFFF"/>
              <w:right w:val="single" w:sz="4" w:space="0" w:color="FFFFFF"/>
            </w:tcBorders>
            <w:shd w:val="clear" w:color="auto" w:fill="auto"/>
            <w:noWrap/>
            <w:vAlign w:val="bottom"/>
          </w:tcPr>
          <w:p w14:paraId="09C5F7F3" w14:textId="77777777" w:rsidR="00E21CF0" w:rsidRPr="0088338F" w:rsidRDefault="00E21CF0" w:rsidP="00A45FE4">
            <w:pPr>
              <w:jc w:val="center"/>
              <w:rPr>
                <w:rFonts w:ascii="Arial" w:hAnsi="Arial" w:cs="Arial"/>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0AC5CFFD" w14:textId="77777777" w:rsidR="00E21CF0" w:rsidRPr="0088338F" w:rsidRDefault="00E21CF0" w:rsidP="00A45FE4">
            <w:pPr>
              <w:jc w:val="right"/>
              <w:rPr>
                <w:rFonts w:ascii="Arial" w:hAnsi="Arial" w:cs="Arial"/>
                <w:b/>
                <w:sz w:val="20"/>
                <w:szCs w:val="20"/>
                <w:lang w:eastAsia="en-US"/>
              </w:rPr>
            </w:pPr>
          </w:p>
        </w:tc>
        <w:tc>
          <w:tcPr>
            <w:tcW w:w="1239" w:type="dxa"/>
            <w:tcBorders>
              <w:top w:val="nil"/>
              <w:left w:val="nil"/>
              <w:bottom w:val="single" w:sz="4" w:space="0" w:color="FFFFFF"/>
              <w:right w:val="single" w:sz="4" w:space="0" w:color="FFFFFF"/>
            </w:tcBorders>
            <w:shd w:val="clear" w:color="auto" w:fill="auto"/>
            <w:noWrap/>
            <w:vAlign w:val="bottom"/>
          </w:tcPr>
          <w:p w14:paraId="61C8E4EA" w14:textId="77777777" w:rsidR="00E21CF0" w:rsidRPr="0088338F" w:rsidRDefault="00E21CF0" w:rsidP="00A45FE4">
            <w:pPr>
              <w:jc w:val="right"/>
              <w:rPr>
                <w:rFonts w:ascii="Arial" w:hAnsi="Arial" w:cs="Arial"/>
                <w:b/>
                <w:sz w:val="20"/>
                <w:szCs w:val="20"/>
                <w:lang w:eastAsia="en-US"/>
              </w:rPr>
            </w:pPr>
          </w:p>
        </w:tc>
      </w:tr>
      <w:tr w:rsidR="00E21CF0" w:rsidRPr="0088338F" w14:paraId="48B0CC70" w14:textId="77777777" w:rsidTr="002B3BCE">
        <w:trPr>
          <w:trHeight w:val="255"/>
        </w:trPr>
        <w:tc>
          <w:tcPr>
            <w:tcW w:w="6052" w:type="dxa"/>
            <w:tcBorders>
              <w:top w:val="nil"/>
              <w:left w:val="single" w:sz="4" w:space="0" w:color="FFFFFF"/>
              <w:bottom w:val="single" w:sz="4" w:space="0" w:color="FFFFFF"/>
              <w:right w:val="single" w:sz="4" w:space="0" w:color="FFFFFF"/>
            </w:tcBorders>
            <w:shd w:val="clear" w:color="auto" w:fill="auto"/>
            <w:noWrap/>
            <w:vAlign w:val="bottom"/>
          </w:tcPr>
          <w:p w14:paraId="4E9397A5" w14:textId="77777777" w:rsidR="00E21CF0" w:rsidRPr="0088338F" w:rsidRDefault="00E21CF0" w:rsidP="00410E96">
            <w:pPr>
              <w:rPr>
                <w:rFonts w:ascii="Arial" w:hAnsi="Arial" w:cs="Arial"/>
                <w:b/>
                <w:bCs/>
                <w:sz w:val="20"/>
                <w:szCs w:val="20"/>
                <w:lang w:eastAsia="en-US"/>
              </w:rPr>
            </w:pPr>
            <w:r w:rsidRPr="0088338F">
              <w:rPr>
                <w:rFonts w:ascii="Arial" w:hAnsi="Arial" w:cs="Arial"/>
                <w:b/>
                <w:bCs/>
                <w:sz w:val="20"/>
                <w:szCs w:val="20"/>
                <w:lang w:eastAsia="en-US"/>
              </w:rPr>
              <w:t>Peňažné prostriedky a ich ekvivalenty na začiatku roka</w:t>
            </w:r>
          </w:p>
        </w:tc>
        <w:tc>
          <w:tcPr>
            <w:tcW w:w="739" w:type="dxa"/>
            <w:tcBorders>
              <w:top w:val="nil"/>
              <w:left w:val="nil"/>
              <w:bottom w:val="single" w:sz="4" w:space="0" w:color="FFFFFF"/>
              <w:right w:val="single" w:sz="4" w:space="0" w:color="FFFFFF"/>
            </w:tcBorders>
            <w:shd w:val="clear" w:color="auto" w:fill="auto"/>
            <w:noWrap/>
            <w:vAlign w:val="bottom"/>
          </w:tcPr>
          <w:p w14:paraId="0F2D7D2C" w14:textId="77777777" w:rsidR="00E21CF0" w:rsidRPr="0088338F" w:rsidRDefault="00E21CF0" w:rsidP="00A45FE4">
            <w:pPr>
              <w:jc w:val="center"/>
              <w:rPr>
                <w:rFonts w:ascii="Arial" w:hAnsi="Arial" w:cs="Arial"/>
                <w:sz w:val="20"/>
                <w:szCs w:val="20"/>
                <w:lang w:eastAsia="en-US"/>
              </w:rPr>
            </w:pPr>
            <w:r w:rsidRPr="0088338F">
              <w:rPr>
                <w:rFonts w:ascii="Arial" w:hAnsi="Arial" w:cs="Arial"/>
                <w:sz w:val="20"/>
                <w:szCs w:val="20"/>
                <w:lang w:eastAsia="en-US"/>
              </w:rPr>
              <w:t>34.</w:t>
            </w:r>
          </w:p>
        </w:tc>
        <w:tc>
          <w:tcPr>
            <w:tcW w:w="1239" w:type="dxa"/>
            <w:tcBorders>
              <w:top w:val="nil"/>
              <w:left w:val="nil"/>
              <w:bottom w:val="single" w:sz="4" w:space="0" w:color="FFFFFF"/>
              <w:right w:val="single" w:sz="4" w:space="0" w:color="FFFFFF"/>
            </w:tcBorders>
            <w:shd w:val="clear" w:color="auto" w:fill="auto"/>
            <w:noWrap/>
            <w:vAlign w:val="bottom"/>
          </w:tcPr>
          <w:p w14:paraId="5F27A77F" w14:textId="27CBCBC7" w:rsidR="00E21CF0" w:rsidRPr="0088338F" w:rsidRDefault="00BC60C9" w:rsidP="00A45FE4">
            <w:pPr>
              <w:jc w:val="right"/>
              <w:rPr>
                <w:rFonts w:ascii="Arial" w:hAnsi="Arial" w:cs="Arial"/>
                <w:b/>
                <w:sz w:val="20"/>
                <w:szCs w:val="20"/>
                <w:lang w:eastAsia="en-US"/>
              </w:rPr>
            </w:pPr>
            <w:r w:rsidRPr="0088338F">
              <w:rPr>
                <w:rFonts w:ascii="Arial" w:hAnsi="Arial" w:cs="Arial"/>
                <w:b/>
                <w:sz w:val="20"/>
                <w:szCs w:val="20"/>
                <w:lang w:eastAsia="en-US"/>
              </w:rPr>
              <w:t>11 764</w:t>
            </w:r>
          </w:p>
        </w:tc>
        <w:tc>
          <w:tcPr>
            <w:tcW w:w="1239" w:type="dxa"/>
            <w:tcBorders>
              <w:top w:val="nil"/>
              <w:left w:val="nil"/>
              <w:bottom w:val="single" w:sz="4" w:space="0" w:color="FFFFFF"/>
              <w:right w:val="single" w:sz="4" w:space="0" w:color="FFFFFF"/>
            </w:tcBorders>
            <w:shd w:val="clear" w:color="auto" w:fill="auto"/>
            <w:noWrap/>
            <w:vAlign w:val="bottom"/>
          </w:tcPr>
          <w:p w14:paraId="0F519AEA" w14:textId="66E083C8" w:rsidR="00E21CF0" w:rsidRPr="0088338F" w:rsidRDefault="00E21CF0" w:rsidP="00A45FE4">
            <w:pPr>
              <w:jc w:val="right"/>
              <w:rPr>
                <w:rFonts w:ascii="Arial" w:hAnsi="Arial" w:cs="Arial"/>
                <w:b/>
                <w:sz w:val="20"/>
                <w:szCs w:val="20"/>
                <w:lang w:eastAsia="en-US"/>
              </w:rPr>
            </w:pPr>
            <w:r w:rsidRPr="0088338F">
              <w:rPr>
                <w:rFonts w:ascii="Arial" w:hAnsi="Arial" w:cs="Arial"/>
                <w:b/>
                <w:sz w:val="20"/>
                <w:szCs w:val="20"/>
                <w:lang w:eastAsia="en-US"/>
              </w:rPr>
              <w:t>3 860</w:t>
            </w:r>
          </w:p>
        </w:tc>
      </w:tr>
      <w:tr w:rsidR="00E21CF0" w:rsidRPr="0088338F" w14:paraId="504A8963" w14:textId="77777777" w:rsidTr="002B3BCE">
        <w:trPr>
          <w:trHeight w:val="270"/>
        </w:trPr>
        <w:tc>
          <w:tcPr>
            <w:tcW w:w="6052" w:type="dxa"/>
            <w:tcBorders>
              <w:top w:val="single" w:sz="4" w:space="0" w:color="FFFFFF"/>
              <w:left w:val="single" w:sz="4" w:space="0" w:color="FFFFFF"/>
              <w:bottom w:val="single" w:sz="12" w:space="0" w:color="auto"/>
              <w:right w:val="single" w:sz="4" w:space="0" w:color="FFFFFF"/>
            </w:tcBorders>
            <w:shd w:val="clear" w:color="auto" w:fill="auto"/>
            <w:noWrap/>
            <w:vAlign w:val="bottom"/>
          </w:tcPr>
          <w:p w14:paraId="419FBED4" w14:textId="77777777" w:rsidR="00E21CF0" w:rsidRPr="0088338F" w:rsidRDefault="00E21CF0" w:rsidP="00410E96">
            <w:pPr>
              <w:rPr>
                <w:rFonts w:ascii="Arial" w:hAnsi="Arial" w:cs="Arial"/>
                <w:b/>
                <w:bCs/>
                <w:sz w:val="20"/>
                <w:szCs w:val="20"/>
                <w:lang w:eastAsia="en-US"/>
              </w:rPr>
            </w:pPr>
            <w:r w:rsidRPr="0088338F">
              <w:rPr>
                <w:rFonts w:ascii="Arial" w:hAnsi="Arial" w:cs="Arial"/>
                <w:b/>
                <w:bCs/>
                <w:sz w:val="20"/>
                <w:szCs w:val="20"/>
                <w:lang w:eastAsia="en-US"/>
              </w:rPr>
              <w:t>Peňažné prostriedky a ich ekvivalenty na konci roka</w:t>
            </w:r>
          </w:p>
        </w:tc>
        <w:tc>
          <w:tcPr>
            <w:tcW w:w="739" w:type="dxa"/>
            <w:tcBorders>
              <w:top w:val="single" w:sz="4" w:space="0" w:color="FFFFFF"/>
              <w:left w:val="nil"/>
              <w:bottom w:val="single" w:sz="12" w:space="0" w:color="auto"/>
              <w:right w:val="single" w:sz="4" w:space="0" w:color="FFFFFF"/>
            </w:tcBorders>
            <w:shd w:val="clear" w:color="auto" w:fill="auto"/>
            <w:noWrap/>
            <w:vAlign w:val="bottom"/>
          </w:tcPr>
          <w:p w14:paraId="28689233" w14:textId="77777777" w:rsidR="00E21CF0" w:rsidRPr="0088338F" w:rsidRDefault="00E21CF0" w:rsidP="00A45FE4">
            <w:pPr>
              <w:jc w:val="center"/>
              <w:rPr>
                <w:rFonts w:ascii="Arial" w:hAnsi="Arial" w:cs="Arial"/>
                <w:sz w:val="20"/>
                <w:szCs w:val="20"/>
                <w:lang w:eastAsia="en-US"/>
              </w:rPr>
            </w:pPr>
            <w:r w:rsidRPr="0088338F">
              <w:rPr>
                <w:rFonts w:ascii="Arial" w:hAnsi="Arial" w:cs="Arial"/>
                <w:sz w:val="20"/>
                <w:szCs w:val="20"/>
                <w:lang w:eastAsia="en-US"/>
              </w:rPr>
              <w:t>34.</w:t>
            </w:r>
          </w:p>
        </w:tc>
        <w:tc>
          <w:tcPr>
            <w:tcW w:w="1239" w:type="dxa"/>
            <w:tcBorders>
              <w:top w:val="single" w:sz="4" w:space="0" w:color="FFFFFF"/>
              <w:left w:val="nil"/>
              <w:bottom w:val="single" w:sz="12" w:space="0" w:color="auto"/>
              <w:right w:val="single" w:sz="4" w:space="0" w:color="FFFFFF"/>
            </w:tcBorders>
            <w:shd w:val="clear" w:color="auto" w:fill="auto"/>
            <w:noWrap/>
            <w:vAlign w:val="bottom"/>
          </w:tcPr>
          <w:p w14:paraId="4EBD776F" w14:textId="505565BD" w:rsidR="00E21CF0" w:rsidRPr="0088338F" w:rsidRDefault="00BC60C9" w:rsidP="00A45FE4">
            <w:pPr>
              <w:jc w:val="right"/>
              <w:rPr>
                <w:rFonts w:ascii="Arial" w:hAnsi="Arial" w:cs="Arial"/>
                <w:b/>
                <w:sz w:val="20"/>
                <w:szCs w:val="20"/>
                <w:lang w:eastAsia="en-US"/>
              </w:rPr>
            </w:pPr>
            <w:r w:rsidRPr="0088338F">
              <w:rPr>
                <w:rFonts w:ascii="Arial" w:hAnsi="Arial" w:cs="Arial"/>
                <w:b/>
                <w:sz w:val="20"/>
                <w:szCs w:val="20"/>
                <w:lang w:eastAsia="en-US"/>
              </w:rPr>
              <w:t>12 436</w:t>
            </w:r>
          </w:p>
        </w:tc>
        <w:tc>
          <w:tcPr>
            <w:tcW w:w="1239" w:type="dxa"/>
            <w:tcBorders>
              <w:top w:val="single" w:sz="4" w:space="0" w:color="FFFFFF"/>
              <w:left w:val="nil"/>
              <w:bottom w:val="single" w:sz="12" w:space="0" w:color="auto"/>
              <w:right w:val="single" w:sz="4" w:space="0" w:color="FFFFFF"/>
            </w:tcBorders>
            <w:shd w:val="clear" w:color="auto" w:fill="auto"/>
            <w:noWrap/>
            <w:vAlign w:val="bottom"/>
          </w:tcPr>
          <w:p w14:paraId="559BAD0C" w14:textId="1BB4FDD5" w:rsidR="00E21CF0" w:rsidRPr="0088338F" w:rsidRDefault="00E21CF0" w:rsidP="00A45FE4">
            <w:pPr>
              <w:jc w:val="right"/>
              <w:rPr>
                <w:rFonts w:ascii="Arial" w:hAnsi="Arial" w:cs="Arial"/>
                <w:b/>
                <w:sz w:val="20"/>
                <w:szCs w:val="20"/>
                <w:lang w:eastAsia="en-US"/>
              </w:rPr>
            </w:pPr>
            <w:r w:rsidRPr="0088338F">
              <w:rPr>
                <w:rFonts w:ascii="Arial" w:hAnsi="Arial" w:cs="Arial"/>
                <w:b/>
                <w:sz w:val="20"/>
                <w:szCs w:val="20"/>
                <w:lang w:eastAsia="en-US"/>
              </w:rPr>
              <w:t>11 764</w:t>
            </w:r>
          </w:p>
        </w:tc>
      </w:tr>
    </w:tbl>
    <w:p w14:paraId="5685879C" w14:textId="77777777" w:rsidR="00885CDA" w:rsidRPr="0088338F" w:rsidRDefault="00885CDA" w:rsidP="00CD4D1E">
      <w:pPr>
        <w:jc w:val="both"/>
        <w:rPr>
          <w:rFonts w:ascii="Arial" w:hAnsi="Arial" w:cs="Arial"/>
          <w:sz w:val="20"/>
          <w:szCs w:val="20"/>
        </w:rPr>
      </w:pPr>
    </w:p>
    <w:p w14:paraId="5BB0540C" w14:textId="77777777" w:rsidR="0060155B" w:rsidRPr="0088338F" w:rsidRDefault="0060155B" w:rsidP="0060155B">
      <w:pPr>
        <w:jc w:val="both"/>
        <w:rPr>
          <w:rFonts w:ascii="Arial" w:hAnsi="Arial" w:cs="Arial"/>
          <w:sz w:val="20"/>
          <w:szCs w:val="20"/>
        </w:rPr>
      </w:pPr>
      <w:r w:rsidRPr="0088338F">
        <w:rPr>
          <w:rFonts w:ascii="Arial" w:hAnsi="Arial" w:cs="Arial"/>
          <w:sz w:val="20"/>
          <w:szCs w:val="20"/>
        </w:rPr>
        <w:t>Výkaz peňažných tokov je zostavený nepriamou metódou.</w:t>
      </w:r>
    </w:p>
    <w:p w14:paraId="16952B2D" w14:textId="77777777" w:rsidR="0060155B" w:rsidRPr="0088338F" w:rsidRDefault="0060155B" w:rsidP="00CD4D1E">
      <w:pPr>
        <w:jc w:val="both"/>
        <w:rPr>
          <w:rFonts w:ascii="Arial" w:hAnsi="Arial" w:cs="Arial"/>
          <w:sz w:val="20"/>
          <w:szCs w:val="20"/>
        </w:rPr>
      </w:pPr>
    </w:p>
    <w:p w14:paraId="73A61684" w14:textId="7F085C58" w:rsidR="003813E0" w:rsidRPr="0088338F" w:rsidRDefault="003813E0" w:rsidP="003813E0">
      <w:pPr>
        <w:jc w:val="both"/>
        <w:rPr>
          <w:rFonts w:ascii="Arial" w:hAnsi="Arial" w:cs="Arial"/>
          <w:sz w:val="20"/>
          <w:szCs w:val="20"/>
        </w:rPr>
      </w:pPr>
      <w:r w:rsidRPr="0088338F">
        <w:rPr>
          <w:rFonts w:ascii="Arial" w:hAnsi="Arial" w:cs="Arial"/>
          <w:sz w:val="20"/>
          <w:szCs w:val="20"/>
        </w:rPr>
        <w:t xml:space="preserve">Poznámky na stranách </w:t>
      </w:r>
      <w:r w:rsidR="00327938" w:rsidRPr="0088338F">
        <w:rPr>
          <w:rFonts w:ascii="Arial" w:hAnsi="Arial" w:cs="Arial"/>
          <w:sz w:val="20"/>
          <w:szCs w:val="20"/>
        </w:rPr>
        <w:t xml:space="preserve">12 až </w:t>
      </w:r>
      <w:r w:rsidR="00327938" w:rsidRPr="0088338F">
        <w:rPr>
          <w:rStyle w:val="PageNumber"/>
          <w:rFonts w:ascii="Arial" w:hAnsi="Arial" w:cs="Arial"/>
          <w:sz w:val="20"/>
          <w:szCs w:val="20"/>
        </w:rPr>
        <w:t xml:space="preserve">76 </w:t>
      </w:r>
      <w:r w:rsidRPr="0088338F">
        <w:rPr>
          <w:rStyle w:val="PageNumber"/>
          <w:rFonts w:ascii="Arial" w:hAnsi="Arial" w:cs="Arial"/>
          <w:sz w:val="20"/>
          <w:szCs w:val="20"/>
        </w:rPr>
        <w:t>sú súčasťou tejto účtovnej závierky</w:t>
      </w:r>
      <w:r w:rsidR="00DC32CA" w:rsidRPr="0088338F">
        <w:rPr>
          <w:rStyle w:val="PageNumber"/>
          <w:rFonts w:ascii="Arial" w:hAnsi="Arial" w:cs="Arial"/>
          <w:sz w:val="20"/>
          <w:szCs w:val="20"/>
        </w:rPr>
        <w:t>.</w:t>
      </w:r>
    </w:p>
    <w:p w14:paraId="45BAB67F" w14:textId="77777777" w:rsidR="003813E0" w:rsidRPr="0088338F" w:rsidRDefault="003813E0" w:rsidP="00CD4D1E">
      <w:pPr>
        <w:jc w:val="both"/>
        <w:rPr>
          <w:rFonts w:ascii="Arial" w:hAnsi="Arial" w:cs="Arial"/>
          <w:sz w:val="20"/>
          <w:szCs w:val="20"/>
        </w:rPr>
      </w:pPr>
    </w:p>
    <w:p w14:paraId="26F7F962" w14:textId="77777777" w:rsidR="003D6945" w:rsidRPr="0088338F" w:rsidRDefault="003D6945" w:rsidP="00CD4D1E">
      <w:pPr>
        <w:jc w:val="both"/>
        <w:rPr>
          <w:rFonts w:ascii="Arial" w:hAnsi="Arial" w:cs="Arial"/>
          <w:sz w:val="20"/>
          <w:szCs w:val="20"/>
        </w:rPr>
      </w:pPr>
    </w:p>
    <w:p w14:paraId="1226F6E0" w14:textId="77777777" w:rsidR="00E06C62" w:rsidRPr="0088338F" w:rsidRDefault="00E06C62" w:rsidP="00CD4D1E">
      <w:pPr>
        <w:jc w:val="both"/>
        <w:rPr>
          <w:rFonts w:ascii="Arial" w:hAnsi="Arial" w:cs="Arial"/>
          <w:sz w:val="20"/>
          <w:szCs w:val="20"/>
        </w:rPr>
        <w:sectPr w:rsidR="00E06C62" w:rsidRPr="0088338F">
          <w:headerReference w:type="default" r:id="rId22"/>
          <w:pgSz w:w="11906" w:h="16838"/>
          <w:pgMar w:top="1417" w:right="1417" w:bottom="1417" w:left="1417" w:header="708" w:footer="708" w:gutter="0"/>
          <w:cols w:space="708"/>
          <w:docGrid w:linePitch="360"/>
        </w:sectPr>
      </w:pPr>
    </w:p>
    <w:p w14:paraId="7BD9B3C8" w14:textId="77777777" w:rsidR="00E8798E" w:rsidRPr="0088338F" w:rsidRDefault="00E8798E" w:rsidP="00E8798E">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lastRenderedPageBreak/>
        <w:t>Všeobecné informácie</w:t>
      </w:r>
    </w:p>
    <w:p w14:paraId="69D2F9A3" w14:textId="77777777" w:rsidR="00E8798E" w:rsidRPr="0088338F" w:rsidRDefault="00E8798E" w:rsidP="00E8798E">
      <w:pPr>
        <w:jc w:val="both"/>
        <w:rPr>
          <w:rFonts w:ascii="Arial" w:hAnsi="Arial" w:cs="Arial"/>
          <w:b/>
          <w:bCs/>
          <w:sz w:val="20"/>
        </w:rPr>
      </w:pPr>
    </w:p>
    <w:p w14:paraId="5DBFD754" w14:textId="77777777" w:rsidR="001F1517" w:rsidRPr="0088338F" w:rsidRDefault="001F1517" w:rsidP="001F1517">
      <w:pPr>
        <w:jc w:val="both"/>
        <w:rPr>
          <w:rFonts w:ascii="Arial" w:hAnsi="Arial" w:cs="Arial"/>
          <w:b/>
          <w:bCs/>
          <w:sz w:val="20"/>
        </w:rPr>
      </w:pPr>
      <w:r w:rsidRPr="0088338F">
        <w:rPr>
          <w:rFonts w:ascii="Arial" w:hAnsi="Arial" w:cs="Arial"/>
          <w:b/>
          <w:bCs/>
          <w:sz w:val="20"/>
        </w:rPr>
        <w:t>Založenie</w:t>
      </w:r>
    </w:p>
    <w:p w14:paraId="23B487AF" w14:textId="77777777" w:rsidR="001F1517" w:rsidRPr="0088338F" w:rsidRDefault="001F1517" w:rsidP="001F1517">
      <w:pPr>
        <w:jc w:val="both"/>
        <w:rPr>
          <w:rFonts w:ascii="Arial" w:hAnsi="Arial" w:cs="Arial"/>
          <w:sz w:val="20"/>
        </w:rPr>
      </w:pPr>
      <w:r w:rsidRPr="0088338F">
        <w:rPr>
          <w:rFonts w:ascii="Arial" w:hAnsi="Arial" w:cs="Arial"/>
          <w:sz w:val="20"/>
        </w:rPr>
        <w:t>Privatbanka, a.s., (ďalej len „banka“) bola založená dňa 2. augusta 1995 a do obchodného registra bola zapísaná dňa 9. augusta 1995. Banka začala svoju činnosť 22. mája 1996. Sídlo banky je na adrese Einsteinova 25, 851 01 Bratislava. Identifikačné číslo banky je 31 634 419, daňové identifikačné číslo banky je 2020461905.</w:t>
      </w:r>
    </w:p>
    <w:p w14:paraId="5FC61A11" w14:textId="77777777" w:rsidR="001F1517" w:rsidRPr="0088338F" w:rsidRDefault="001F1517" w:rsidP="001F1517">
      <w:pPr>
        <w:jc w:val="both"/>
        <w:rPr>
          <w:rFonts w:ascii="Arial" w:hAnsi="Arial" w:cs="Arial"/>
          <w:sz w:val="20"/>
        </w:rPr>
      </w:pPr>
    </w:p>
    <w:p w14:paraId="4DE2E1AE" w14:textId="77777777" w:rsidR="001F1517" w:rsidRPr="0088338F" w:rsidRDefault="001F1517" w:rsidP="001F1517">
      <w:pPr>
        <w:jc w:val="both"/>
        <w:rPr>
          <w:rFonts w:ascii="Arial" w:hAnsi="Arial" w:cs="Arial"/>
          <w:b/>
          <w:bCs/>
          <w:sz w:val="20"/>
        </w:rPr>
      </w:pPr>
      <w:r w:rsidRPr="0088338F">
        <w:rPr>
          <w:rFonts w:ascii="Arial" w:hAnsi="Arial" w:cs="Arial"/>
          <w:b/>
          <w:bCs/>
          <w:sz w:val="20"/>
        </w:rPr>
        <w:t>Hlavná činnosť</w:t>
      </w:r>
    </w:p>
    <w:p w14:paraId="13F8B272" w14:textId="77777777" w:rsidR="001F1517" w:rsidRPr="0088338F" w:rsidRDefault="001F1517" w:rsidP="001F1517">
      <w:pPr>
        <w:jc w:val="both"/>
        <w:rPr>
          <w:rFonts w:ascii="Arial" w:hAnsi="Arial" w:cs="Arial"/>
          <w:sz w:val="20"/>
        </w:rPr>
      </w:pPr>
      <w:r w:rsidRPr="0088338F">
        <w:rPr>
          <w:rFonts w:ascii="Arial" w:hAnsi="Arial" w:cs="Arial"/>
          <w:sz w:val="20"/>
        </w:rPr>
        <w:t>Medzi hlavné činnosti banky patrí poskytovanie širokej škály bankových a finančných služieb fyzickým a právnickým osobám podľa bankového povolenia.</w:t>
      </w:r>
    </w:p>
    <w:p w14:paraId="46E277E9" w14:textId="77777777" w:rsidR="001F1517" w:rsidRPr="0088338F" w:rsidRDefault="001F1517" w:rsidP="001F1517">
      <w:pPr>
        <w:jc w:val="both"/>
        <w:rPr>
          <w:rFonts w:ascii="Arial" w:hAnsi="Arial" w:cs="Arial"/>
          <w:sz w:val="20"/>
        </w:rPr>
      </w:pPr>
    </w:p>
    <w:p w14:paraId="791EFDD5" w14:textId="77777777" w:rsidR="001F1517" w:rsidRPr="0088338F" w:rsidRDefault="001F1517" w:rsidP="001F1517">
      <w:pPr>
        <w:jc w:val="both"/>
        <w:rPr>
          <w:rFonts w:ascii="Arial" w:hAnsi="Arial" w:cs="Arial"/>
          <w:sz w:val="20"/>
        </w:rPr>
      </w:pPr>
      <w:r w:rsidRPr="0088338F">
        <w:rPr>
          <w:rFonts w:ascii="Arial" w:hAnsi="Arial" w:cs="Arial"/>
          <w:sz w:val="20"/>
        </w:rPr>
        <w:t>Bankové povolenie bolo banke udelené v nasledovnom rozsahu:</w:t>
      </w:r>
    </w:p>
    <w:p w14:paraId="34FCCC91" w14:textId="77777777" w:rsidR="001F1517" w:rsidRPr="0088338F" w:rsidRDefault="001F1517" w:rsidP="001F1517">
      <w:pPr>
        <w:jc w:val="both"/>
        <w:rPr>
          <w:rFonts w:ascii="Arial" w:hAnsi="Arial" w:cs="Arial"/>
          <w:sz w:val="20"/>
        </w:rPr>
      </w:pPr>
    </w:p>
    <w:p w14:paraId="614097A3" w14:textId="77777777" w:rsidR="001F1517" w:rsidRPr="0088338F" w:rsidRDefault="001F1517" w:rsidP="001F1517">
      <w:pPr>
        <w:numPr>
          <w:ilvl w:val="0"/>
          <w:numId w:val="9"/>
        </w:numPr>
        <w:tabs>
          <w:tab w:val="clear" w:pos="1854"/>
        </w:tabs>
        <w:ind w:left="851" w:hanging="284"/>
        <w:jc w:val="both"/>
        <w:rPr>
          <w:rFonts w:ascii="Arial" w:hAnsi="Arial" w:cs="Arial"/>
          <w:sz w:val="20"/>
        </w:rPr>
      </w:pPr>
      <w:r w:rsidRPr="0088338F">
        <w:rPr>
          <w:rFonts w:ascii="Arial" w:hAnsi="Arial" w:cs="Arial"/>
          <w:sz w:val="20"/>
        </w:rPr>
        <w:t>prijímanie vkladov,</w:t>
      </w:r>
    </w:p>
    <w:p w14:paraId="06063491" w14:textId="77777777" w:rsidR="001F1517" w:rsidRPr="0088338F" w:rsidRDefault="001F1517" w:rsidP="001F1517">
      <w:pPr>
        <w:numPr>
          <w:ilvl w:val="0"/>
          <w:numId w:val="9"/>
        </w:numPr>
        <w:tabs>
          <w:tab w:val="clear" w:pos="1854"/>
        </w:tabs>
        <w:ind w:left="851" w:hanging="284"/>
        <w:jc w:val="both"/>
        <w:rPr>
          <w:rFonts w:ascii="Arial" w:hAnsi="Arial" w:cs="Arial"/>
          <w:sz w:val="20"/>
        </w:rPr>
      </w:pPr>
      <w:r w:rsidRPr="0088338F">
        <w:rPr>
          <w:rFonts w:ascii="Arial" w:hAnsi="Arial" w:cs="Arial"/>
          <w:sz w:val="20"/>
        </w:rPr>
        <w:t>poskytovanie úverov,</w:t>
      </w:r>
    </w:p>
    <w:p w14:paraId="371B44D1" w14:textId="77777777" w:rsidR="001F1517" w:rsidRPr="0088338F" w:rsidRDefault="001F1517" w:rsidP="001F1517">
      <w:pPr>
        <w:numPr>
          <w:ilvl w:val="0"/>
          <w:numId w:val="9"/>
        </w:numPr>
        <w:tabs>
          <w:tab w:val="clear" w:pos="1854"/>
        </w:tabs>
        <w:ind w:left="851" w:hanging="284"/>
        <w:jc w:val="both"/>
        <w:rPr>
          <w:rFonts w:ascii="Arial" w:hAnsi="Arial" w:cs="Arial"/>
          <w:sz w:val="20"/>
        </w:rPr>
      </w:pPr>
      <w:r w:rsidRPr="0088338F">
        <w:rPr>
          <w:rFonts w:ascii="Arial" w:hAnsi="Arial" w:cs="Arial"/>
          <w:sz w:val="20"/>
        </w:rPr>
        <w:t>investovanie do cenných papierov na vlastný účet,</w:t>
      </w:r>
    </w:p>
    <w:p w14:paraId="2C2BCADD" w14:textId="77777777" w:rsidR="001F1517" w:rsidRPr="0088338F" w:rsidRDefault="001F1517" w:rsidP="001F1517">
      <w:pPr>
        <w:numPr>
          <w:ilvl w:val="0"/>
          <w:numId w:val="9"/>
        </w:numPr>
        <w:tabs>
          <w:tab w:val="clear" w:pos="1854"/>
        </w:tabs>
        <w:ind w:left="851" w:hanging="284"/>
        <w:jc w:val="both"/>
        <w:rPr>
          <w:rFonts w:ascii="Arial" w:hAnsi="Arial" w:cs="Arial"/>
          <w:sz w:val="20"/>
        </w:rPr>
      </w:pPr>
      <w:r w:rsidRPr="0088338F">
        <w:rPr>
          <w:rFonts w:ascii="Arial" w:hAnsi="Arial" w:cs="Arial"/>
          <w:sz w:val="20"/>
        </w:rPr>
        <w:t>obchodovanie na vlastný účet,</w:t>
      </w:r>
    </w:p>
    <w:p w14:paraId="271237F5" w14:textId="0B1DD3F5" w:rsidR="001F1517" w:rsidRPr="0088338F" w:rsidRDefault="001F1517" w:rsidP="001F1517">
      <w:pPr>
        <w:numPr>
          <w:ilvl w:val="1"/>
          <w:numId w:val="9"/>
        </w:numPr>
        <w:tabs>
          <w:tab w:val="clear" w:pos="2007"/>
        </w:tabs>
        <w:ind w:left="1135" w:hanging="284"/>
        <w:jc w:val="both"/>
        <w:rPr>
          <w:rFonts w:ascii="Arial" w:hAnsi="Arial" w:cs="Arial"/>
          <w:sz w:val="20"/>
          <w:szCs w:val="20"/>
        </w:rPr>
      </w:pPr>
      <w:r w:rsidRPr="0088338F">
        <w:rPr>
          <w:rFonts w:ascii="Arial" w:hAnsi="Arial" w:cs="Arial"/>
          <w:sz w:val="20"/>
          <w:szCs w:val="20"/>
        </w:rPr>
        <w:t>s finančnými nástrojmi peňažného trhu v eurách a v cudzej mene, vrátane zmenárenskej činnosti,</w:t>
      </w:r>
    </w:p>
    <w:p w14:paraId="00F98A46" w14:textId="12592471" w:rsidR="001F1517" w:rsidRPr="0088338F" w:rsidRDefault="001F1517" w:rsidP="001F1517">
      <w:pPr>
        <w:numPr>
          <w:ilvl w:val="1"/>
          <w:numId w:val="9"/>
        </w:numPr>
        <w:tabs>
          <w:tab w:val="clear" w:pos="2007"/>
        </w:tabs>
        <w:ind w:left="1135" w:hanging="284"/>
        <w:jc w:val="both"/>
        <w:rPr>
          <w:rFonts w:ascii="Arial" w:hAnsi="Arial" w:cs="Arial"/>
          <w:sz w:val="20"/>
          <w:szCs w:val="20"/>
        </w:rPr>
      </w:pPr>
      <w:r w:rsidRPr="0088338F">
        <w:rPr>
          <w:rFonts w:ascii="Arial" w:hAnsi="Arial" w:cs="Arial"/>
          <w:sz w:val="20"/>
          <w:szCs w:val="20"/>
        </w:rPr>
        <w:t>s finančnými nástrojmi kapitálového trhu v eurách a v cudzej mene,</w:t>
      </w:r>
    </w:p>
    <w:p w14:paraId="003A51DC" w14:textId="00D7ACA4" w:rsidR="001F1517" w:rsidRPr="0088338F" w:rsidRDefault="001F1517" w:rsidP="001F1517">
      <w:pPr>
        <w:numPr>
          <w:ilvl w:val="1"/>
          <w:numId w:val="9"/>
        </w:numPr>
        <w:tabs>
          <w:tab w:val="clear" w:pos="2007"/>
        </w:tabs>
        <w:ind w:left="1135" w:hanging="284"/>
        <w:jc w:val="both"/>
        <w:rPr>
          <w:rFonts w:ascii="Arial" w:hAnsi="Arial" w:cs="Arial"/>
          <w:sz w:val="20"/>
          <w:szCs w:val="20"/>
        </w:rPr>
      </w:pPr>
      <w:r w:rsidRPr="0088338F">
        <w:rPr>
          <w:rFonts w:ascii="Arial" w:hAnsi="Arial" w:cs="Arial"/>
          <w:sz w:val="20"/>
          <w:szCs w:val="20"/>
        </w:rPr>
        <w:t>s mincami z drahých kovov, s pamätnými bankovkami a pamätnými mincami, hárkami bankoviek a súbormi obehových mincí,</w:t>
      </w:r>
    </w:p>
    <w:p w14:paraId="586321C3" w14:textId="77777777" w:rsidR="001F1517" w:rsidRPr="0088338F" w:rsidRDefault="001F1517" w:rsidP="001F1517">
      <w:pPr>
        <w:numPr>
          <w:ilvl w:val="0"/>
          <w:numId w:val="9"/>
        </w:numPr>
        <w:tabs>
          <w:tab w:val="clear" w:pos="1854"/>
        </w:tabs>
        <w:ind w:left="851" w:hanging="284"/>
        <w:jc w:val="both"/>
        <w:rPr>
          <w:rFonts w:ascii="Arial" w:hAnsi="Arial" w:cs="Arial"/>
          <w:sz w:val="20"/>
        </w:rPr>
      </w:pPr>
      <w:r w:rsidRPr="0088338F">
        <w:rPr>
          <w:rFonts w:ascii="Arial" w:hAnsi="Arial" w:cs="Arial"/>
          <w:sz w:val="20"/>
        </w:rPr>
        <w:t>správa pohľadávok klienta na jeho účet vrátane súvisiaceho poradenstva,</w:t>
      </w:r>
    </w:p>
    <w:p w14:paraId="6E132E0F" w14:textId="77777777" w:rsidR="001F1517" w:rsidRPr="0088338F" w:rsidRDefault="001F1517" w:rsidP="001F1517">
      <w:pPr>
        <w:numPr>
          <w:ilvl w:val="0"/>
          <w:numId w:val="9"/>
        </w:numPr>
        <w:tabs>
          <w:tab w:val="clear" w:pos="1854"/>
        </w:tabs>
        <w:ind w:left="851" w:hanging="284"/>
        <w:jc w:val="both"/>
        <w:rPr>
          <w:rFonts w:ascii="Arial" w:hAnsi="Arial" w:cs="Arial"/>
          <w:sz w:val="20"/>
        </w:rPr>
      </w:pPr>
      <w:r w:rsidRPr="0088338F">
        <w:rPr>
          <w:rFonts w:ascii="Arial" w:hAnsi="Arial" w:cs="Arial"/>
          <w:sz w:val="20"/>
        </w:rPr>
        <w:t>finančný lízing,</w:t>
      </w:r>
    </w:p>
    <w:p w14:paraId="70DADF52" w14:textId="77777777" w:rsidR="001F1517" w:rsidRPr="0088338F" w:rsidRDefault="001F1517" w:rsidP="001F1517">
      <w:pPr>
        <w:numPr>
          <w:ilvl w:val="0"/>
          <w:numId w:val="9"/>
        </w:numPr>
        <w:tabs>
          <w:tab w:val="clear" w:pos="1854"/>
        </w:tabs>
        <w:ind w:left="851" w:hanging="284"/>
        <w:jc w:val="both"/>
        <w:rPr>
          <w:rFonts w:ascii="Arial" w:hAnsi="Arial" w:cs="Arial"/>
          <w:sz w:val="20"/>
        </w:rPr>
      </w:pPr>
      <w:r w:rsidRPr="0088338F">
        <w:rPr>
          <w:rFonts w:ascii="Arial" w:hAnsi="Arial" w:cs="Arial"/>
          <w:sz w:val="20"/>
        </w:rPr>
        <w:t>poskytovanie záruk, otváranie a potvrdzovanie akreditívov,</w:t>
      </w:r>
    </w:p>
    <w:p w14:paraId="17B63FF5" w14:textId="77777777" w:rsidR="001F1517" w:rsidRPr="0088338F" w:rsidRDefault="001F1517" w:rsidP="001F1517">
      <w:pPr>
        <w:numPr>
          <w:ilvl w:val="0"/>
          <w:numId w:val="9"/>
        </w:numPr>
        <w:tabs>
          <w:tab w:val="clear" w:pos="1854"/>
        </w:tabs>
        <w:ind w:left="851" w:hanging="284"/>
        <w:jc w:val="both"/>
        <w:rPr>
          <w:rFonts w:ascii="Arial" w:hAnsi="Arial" w:cs="Arial"/>
          <w:sz w:val="20"/>
        </w:rPr>
      </w:pPr>
      <w:r w:rsidRPr="0088338F">
        <w:rPr>
          <w:rFonts w:ascii="Arial" w:hAnsi="Arial" w:cs="Arial"/>
          <w:sz w:val="20"/>
        </w:rPr>
        <w:t>poskytovanie poradenských služieb v oblasti podnikania,</w:t>
      </w:r>
    </w:p>
    <w:p w14:paraId="45C05486" w14:textId="77777777" w:rsidR="001F1517" w:rsidRPr="0088338F" w:rsidRDefault="001F1517" w:rsidP="001F1517">
      <w:pPr>
        <w:numPr>
          <w:ilvl w:val="0"/>
          <w:numId w:val="9"/>
        </w:numPr>
        <w:tabs>
          <w:tab w:val="clear" w:pos="1854"/>
        </w:tabs>
        <w:ind w:left="851" w:hanging="284"/>
        <w:jc w:val="both"/>
        <w:rPr>
          <w:rFonts w:ascii="Arial" w:hAnsi="Arial" w:cs="Arial"/>
          <w:sz w:val="20"/>
        </w:rPr>
      </w:pPr>
      <w:r w:rsidRPr="0088338F">
        <w:rPr>
          <w:rFonts w:ascii="Arial" w:hAnsi="Arial" w:cs="Arial"/>
          <w:sz w:val="20"/>
        </w:rPr>
        <w:t>vydávanie cenných papierov, účasť na vydávaní cenných papierov a poskytovanie súvisiacich služieb,</w:t>
      </w:r>
    </w:p>
    <w:p w14:paraId="7E776D32" w14:textId="77777777" w:rsidR="001F1517" w:rsidRPr="0088338F" w:rsidRDefault="001F1517" w:rsidP="001F1517">
      <w:pPr>
        <w:numPr>
          <w:ilvl w:val="0"/>
          <w:numId w:val="9"/>
        </w:numPr>
        <w:tabs>
          <w:tab w:val="clear" w:pos="1854"/>
        </w:tabs>
        <w:ind w:left="851" w:hanging="397"/>
        <w:jc w:val="both"/>
        <w:rPr>
          <w:rFonts w:ascii="Arial" w:hAnsi="Arial" w:cs="Arial"/>
          <w:sz w:val="20"/>
        </w:rPr>
      </w:pPr>
      <w:r w:rsidRPr="0088338F">
        <w:rPr>
          <w:rFonts w:ascii="Arial" w:hAnsi="Arial" w:cs="Arial"/>
          <w:sz w:val="20"/>
        </w:rPr>
        <w:t>finančné sprostredkovanie,</w:t>
      </w:r>
    </w:p>
    <w:p w14:paraId="46A5132C" w14:textId="77777777" w:rsidR="001F1517" w:rsidRPr="0088338F" w:rsidRDefault="001F1517" w:rsidP="001F1517">
      <w:pPr>
        <w:numPr>
          <w:ilvl w:val="0"/>
          <w:numId w:val="9"/>
        </w:numPr>
        <w:tabs>
          <w:tab w:val="clear" w:pos="1854"/>
        </w:tabs>
        <w:ind w:left="851" w:hanging="397"/>
        <w:jc w:val="both"/>
        <w:rPr>
          <w:rFonts w:ascii="Arial" w:hAnsi="Arial" w:cs="Arial"/>
          <w:sz w:val="20"/>
        </w:rPr>
      </w:pPr>
      <w:r w:rsidRPr="0088338F">
        <w:rPr>
          <w:rFonts w:ascii="Arial" w:hAnsi="Arial" w:cs="Arial"/>
          <w:sz w:val="20"/>
        </w:rPr>
        <w:t>uloženie vecí,</w:t>
      </w:r>
    </w:p>
    <w:p w14:paraId="45DD4A23" w14:textId="77777777" w:rsidR="001F1517" w:rsidRPr="0088338F" w:rsidRDefault="001F1517" w:rsidP="001F1517">
      <w:pPr>
        <w:numPr>
          <w:ilvl w:val="0"/>
          <w:numId w:val="9"/>
        </w:numPr>
        <w:tabs>
          <w:tab w:val="clear" w:pos="1854"/>
        </w:tabs>
        <w:ind w:left="851" w:hanging="397"/>
        <w:jc w:val="both"/>
        <w:rPr>
          <w:rFonts w:ascii="Arial" w:hAnsi="Arial" w:cs="Arial"/>
          <w:sz w:val="20"/>
        </w:rPr>
      </w:pPr>
      <w:r w:rsidRPr="0088338F">
        <w:rPr>
          <w:rFonts w:ascii="Arial" w:hAnsi="Arial" w:cs="Arial"/>
          <w:sz w:val="20"/>
        </w:rPr>
        <w:t>prenájom bezpečnostných schránok,</w:t>
      </w:r>
    </w:p>
    <w:p w14:paraId="557201AC" w14:textId="77777777" w:rsidR="001F1517" w:rsidRPr="0088338F" w:rsidRDefault="001F1517" w:rsidP="001F1517">
      <w:pPr>
        <w:numPr>
          <w:ilvl w:val="0"/>
          <w:numId w:val="9"/>
        </w:numPr>
        <w:tabs>
          <w:tab w:val="clear" w:pos="1854"/>
        </w:tabs>
        <w:ind w:left="851" w:hanging="397"/>
        <w:jc w:val="both"/>
        <w:rPr>
          <w:rFonts w:ascii="Arial" w:hAnsi="Arial" w:cs="Arial"/>
          <w:sz w:val="20"/>
        </w:rPr>
      </w:pPr>
      <w:r w:rsidRPr="0088338F">
        <w:rPr>
          <w:rFonts w:ascii="Arial" w:hAnsi="Arial" w:cs="Arial"/>
          <w:sz w:val="20"/>
        </w:rPr>
        <w:t>poskytovanie bankových informácií,</w:t>
      </w:r>
    </w:p>
    <w:p w14:paraId="11B6FEFA" w14:textId="77777777" w:rsidR="001F1517" w:rsidRPr="0088338F" w:rsidRDefault="001F1517" w:rsidP="001F1517">
      <w:pPr>
        <w:numPr>
          <w:ilvl w:val="0"/>
          <w:numId w:val="9"/>
        </w:numPr>
        <w:tabs>
          <w:tab w:val="clear" w:pos="1854"/>
        </w:tabs>
        <w:ind w:left="851" w:hanging="397"/>
        <w:jc w:val="both"/>
        <w:rPr>
          <w:rFonts w:ascii="Arial" w:hAnsi="Arial" w:cs="Arial"/>
          <w:sz w:val="20"/>
        </w:rPr>
      </w:pPr>
      <w:r w:rsidRPr="0088338F">
        <w:rPr>
          <w:rFonts w:ascii="Arial" w:hAnsi="Arial" w:cs="Arial"/>
          <w:sz w:val="20"/>
        </w:rPr>
        <w:t>funkcia depozitára podľa osobitného predpisu,</w:t>
      </w:r>
    </w:p>
    <w:p w14:paraId="346067FB" w14:textId="77777777" w:rsidR="001F1517" w:rsidRPr="0088338F" w:rsidRDefault="001F1517" w:rsidP="001F1517">
      <w:pPr>
        <w:numPr>
          <w:ilvl w:val="0"/>
          <w:numId w:val="9"/>
        </w:numPr>
        <w:tabs>
          <w:tab w:val="clear" w:pos="1854"/>
        </w:tabs>
        <w:ind w:left="851" w:hanging="397"/>
        <w:jc w:val="both"/>
        <w:rPr>
          <w:rFonts w:ascii="Arial" w:hAnsi="Arial" w:cs="Arial"/>
          <w:sz w:val="20"/>
        </w:rPr>
      </w:pPr>
      <w:r w:rsidRPr="0088338F">
        <w:rPr>
          <w:rFonts w:ascii="Arial" w:hAnsi="Arial" w:cs="Arial"/>
          <w:sz w:val="20"/>
        </w:rPr>
        <w:t>spracúvanie bankoviek, mincí, pamätných bankoviek a pamätných mincí,</w:t>
      </w:r>
    </w:p>
    <w:p w14:paraId="7181D3A2" w14:textId="77777777" w:rsidR="001F1517" w:rsidRPr="0088338F" w:rsidRDefault="001F1517" w:rsidP="001F1517">
      <w:pPr>
        <w:numPr>
          <w:ilvl w:val="0"/>
          <w:numId w:val="9"/>
        </w:numPr>
        <w:tabs>
          <w:tab w:val="clear" w:pos="1854"/>
        </w:tabs>
        <w:ind w:left="851" w:hanging="397"/>
        <w:jc w:val="both"/>
        <w:rPr>
          <w:rFonts w:ascii="Arial" w:hAnsi="Arial" w:cs="Arial"/>
          <w:sz w:val="20"/>
        </w:rPr>
      </w:pPr>
      <w:r w:rsidRPr="0088338F">
        <w:rPr>
          <w:rFonts w:ascii="Arial" w:hAnsi="Arial" w:cs="Arial"/>
          <w:sz w:val="20"/>
        </w:rPr>
        <w:t>poskytovanie investičných služieb, investičných činností a vedľajších služieb v súlade s ustanovením § 79 ods. 1 a v spojení s § 6 ods. 1 a 2 zákona č. 566/2001 Z. z. o cenných papieroch a investičných službách a o zmene niektorých zákonov v znení neskorších predpisov v tomto rozsahu:</w:t>
      </w:r>
    </w:p>
    <w:p w14:paraId="1CA0EAAF" w14:textId="77777777" w:rsidR="001F1517" w:rsidRPr="0088338F" w:rsidRDefault="001F1517" w:rsidP="001F1517">
      <w:pPr>
        <w:numPr>
          <w:ilvl w:val="0"/>
          <w:numId w:val="25"/>
        </w:numPr>
        <w:tabs>
          <w:tab w:val="clear" w:pos="1080"/>
        </w:tabs>
        <w:ind w:left="1135" w:hanging="284"/>
        <w:jc w:val="both"/>
        <w:rPr>
          <w:rFonts w:ascii="Arial" w:hAnsi="Arial" w:cs="Arial"/>
          <w:sz w:val="20"/>
        </w:rPr>
      </w:pPr>
      <w:r w:rsidRPr="0088338F">
        <w:rPr>
          <w:rFonts w:ascii="Arial" w:hAnsi="Arial" w:cs="Arial"/>
          <w:sz w:val="20"/>
        </w:rPr>
        <w:t>prijatie a postúpenie pokynu klienta týkajúceho sa jedného alebo viacerých finančných nástrojov vo vzťahu k finančným nástrojom:</w:t>
      </w:r>
    </w:p>
    <w:p w14:paraId="645806BA" w14:textId="77777777" w:rsidR="001F1517" w:rsidRPr="0088338F" w:rsidRDefault="001F1517" w:rsidP="001F1517">
      <w:pPr>
        <w:pStyle w:val="BodyText"/>
        <w:numPr>
          <w:ilvl w:val="0"/>
          <w:numId w:val="14"/>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prevoditeľné cenné papiere,</w:t>
      </w:r>
    </w:p>
    <w:p w14:paraId="2006EE88" w14:textId="77777777" w:rsidR="001F1517" w:rsidRPr="0088338F" w:rsidRDefault="001F1517" w:rsidP="001F1517">
      <w:pPr>
        <w:pStyle w:val="BodyText"/>
        <w:numPr>
          <w:ilvl w:val="0"/>
          <w:numId w:val="14"/>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nástroje peňažného trhu,</w:t>
      </w:r>
    </w:p>
    <w:p w14:paraId="44F98C88" w14:textId="77777777" w:rsidR="001F1517" w:rsidRPr="0088338F" w:rsidRDefault="001F1517" w:rsidP="001F1517">
      <w:pPr>
        <w:pStyle w:val="BodyText"/>
        <w:numPr>
          <w:ilvl w:val="0"/>
          <w:numId w:val="14"/>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podielové listy alebo cenné papiere vydané zahraničnými subjektmi kolektívneho investovania,</w:t>
      </w:r>
    </w:p>
    <w:p w14:paraId="34910EEE" w14:textId="77777777" w:rsidR="001F1517" w:rsidRPr="0088338F" w:rsidRDefault="001F1517" w:rsidP="001F1517">
      <w:pPr>
        <w:pStyle w:val="BodyText"/>
        <w:numPr>
          <w:ilvl w:val="0"/>
          <w:numId w:val="14"/>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 xml:space="preserve">futures, swapy, forwardy týkajúce sa mien a úrokových mier alebo výnosov, ktoré môžu byť vyrovnané doručením alebo v hotovosti, </w:t>
      </w:r>
    </w:p>
    <w:p w14:paraId="3BF68BEA" w14:textId="6D06BBC9" w:rsidR="001F1517" w:rsidRPr="0088338F" w:rsidRDefault="001F1517" w:rsidP="001F1517">
      <w:pPr>
        <w:numPr>
          <w:ilvl w:val="0"/>
          <w:numId w:val="25"/>
        </w:numPr>
        <w:tabs>
          <w:tab w:val="clear" w:pos="1080"/>
        </w:tabs>
        <w:ind w:left="1135" w:hanging="284"/>
        <w:jc w:val="both"/>
        <w:rPr>
          <w:rFonts w:ascii="Arial" w:hAnsi="Arial" w:cs="Arial"/>
          <w:sz w:val="20"/>
        </w:rPr>
      </w:pPr>
      <w:r w:rsidRPr="0088338F">
        <w:rPr>
          <w:rFonts w:ascii="Arial" w:hAnsi="Arial" w:cs="Arial"/>
          <w:sz w:val="20"/>
        </w:rPr>
        <w:t>vykonanie pokynu klienta na jeho účet vo vzťahu k finančným nástrojom:</w:t>
      </w:r>
    </w:p>
    <w:p w14:paraId="7C626679" w14:textId="77777777" w:rsidR="001F1517" w:rsidRPr="0088338F" w:rsidRDefault="001F1517" w:rsidP="001F1517">
      <w:pPr>
        <w:pStyle w:val="BodyText"/>
        <w:numPr>
          <w:ilvl w:val="0"/>
          <w:numId w:val="15"/>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prevoditeľné cenné papiere,</w:t>
      </w:r>
    </w:p>
    <w:p w14:paraId="66022152" w14:textId="77777777" w:rsidR="001F1517" w:rsidRPr="0088338F" w:rsidRDefault="001F1517" w:rsidP="001F1517">
      <w:pPr>
        <w:pStyle w:val="BodyText"/>
        <w:numPr>
          <w:ilvl w:val="0"/>
          <w:numId w:val="15"/>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nástroje peňažného trhu,</w:t>
      </w:r>
    </w:p>
    <w:p w14:paraId="7AC5403F" w14:textId="77777777" w:rsidR="001F1517" w:rsidRPr="0088338F" w:rsidRDefault="001F1517" w:rsidP="001F1517">
      <w:pPr>
        <w:pStyle w:val="BodyText"/>
        <w:numPr>
          <w:ilvl w:val="0"/>
          <w:numId w:val="15"/>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podielové listy alebo cenné papiere vydané zahraničnými subjektmi kolektívneho investovania,</w:t>
      </w:r>
    </w:p>
    <w:p w14:paraId="7C3E9B95" w14:textId="77777777" w:rsidR="001F1517" w:rsidRPr="0088338F" w:rsidRDefault="001F1517" w:rsidP="001F1517">
      <w:pPr>
        <w:pStyle w:val="BodyText"/>
        <w:numPr>
          <w:ilvl w:val="0"/>
          <w:numId w:val="15"/>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 xml:space="preserve">futures, swapy, forwardy týkajúce sa mien a úrokových mier alebo výnosov, ktoré môžu byť vyrovnané doručením alebo v hotovosti, </w:t>
      </w:r>
    </w:p>
    <w:p w14:paraId="08E39626" w14:textId="77777777" w:rsidR="001F1517" w:rsidRPr="0088338F" w:rsidRDefault="001F1517" w:rsidP="001F1517">
      <w:pPr>
        <w:numPr>
          <w:ilvl w:val="0"/>
          <w:numId w:val="25"/>
        </w:numPr>
        <w:tabs>
          <w:tab w:val="clear" w:pos="1080"/>
        </w:tabs>
        <w:ind w:left="1135" w:hanging="284"/>
        <w:jc w:val="both"/>
        <w:rPr>
          <w:rFonts w:ascii="Arial" w:hAnsi="Arial" w:cs="Arial"/>
          <w:sz w:val="20"/>
        </w:rPr>
      </w:pPr>
      <w:r w:rsidRPr="0088338F">
        <w:rPr>
          <w:rFonts w:ascii="Arial" w:hAnsi="Arial" w:cs="Arial"/>
          <w:sz w:val="20"/>
        </w:rPr>
        <w:br w:type="page"/>
      </w:r>
      <w:r w:rsidRPr="0088338F">
        <w:rPr>
          <w:rFonts w:ascii="Arial" w:hAnsi="Arial" w:cs="Arial"/>
          <w:sz w:val="20"/>
        </w:rPr>
        <w:lastRenderedPageBreak/>
        <w:t>obchodovanie na vlastný účet vo vzťahu k finančným nástrojom:</w:t>
      </w:r>
    </w:p>
    <w:p w14:paraId="1E03DC64" w14:textId="77777777" w:rsidR="001F1517" w:rsidRPr="0088338F" w:rsidRDefault="001F1517" w:rsidP="001F1517">
      <w:pPr>
        <w:pStyle w:val="BodyText"/>
        <w:numPr>
          <w:ilvl w:val="0"/>
          <w:numId w:val="16"/>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prevoditeľné cenné papiere,</w:t>
      </w:r>
    </w:p>
    <w:p w14:paraId="152A9EBB" w14:textId="77777777" w:rsidR="001F1517" w:rsidRPr="0088338F" w:rsidRDefault="001F1517" w:rsidP="001F1517">
      <w:pPr>
        <w:pStyle w:val="BodyText"/>
        <w:numPr>
          <w:ilvl w:val="0"/>
          <w:numId w:val="16"/>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nástroje peňažného trhu,</w:t>
      </w:r>
    </w:p>
    <w:p w14:paraId="1F181A77" w14:textId="77777777" w:rsidR="001F1517" w:rsidRPr="0088338F" w:rsidRDefault="001F1517" w:rsidP="001F1517">
      <w:pPr>
        <w:pStyle w:val="BodyText"/>
        <w:numPr>
          <w:ilvl w:val="0"/>
          <w:numId w:val="16"/>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podielové listy alebo cenné papiere vydané zahraničnými subjektmi kolektívneho investovania,</w:t>
      </w:r>
    </w:p>
    <w:p w14:paraId="7ABC1959" w14:textId="77777777" w:rsidR="001F1517" w:rsidRPr="0088338F" w:rsidRDefault="001F1517" w:rsidP="001F1517">
      <w:pPr>
        <w:pStyle w:val="BodyText"/>
        <w:numPr>
          <w:ilvl w:val="0"/>
          <w:numId w:val="16"/>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 xml:space="preserve">futures, swapy, forwardy týkajúce sa mien a úrokových mier alebo výnosov, ktoré môžu byť vyrovnané doručením alebo v hotovosti, </w:t>
      </w:r>
    </w:p>
    <w:p w14:paraId="1D256E89" w14:textId="365EEE4E" w:rsidR="001F1517" w:rsidRPr="0088338F" w:rsidRDefault="001F1517" w:rsidP="001F1517">
      <w:pPr>
        <w:numPr>
          <w:ilvl w:val="0"/>
          <w:numId w:val="25"/>
        </w:numPr>
        <w:tabs>
          <w:tab w:val="clear" w:pos="1080"/>
        </w:tabs>
        <w:ind w:left="1135" w:hanging="284"/>
        <w:jc w:val="both"/>
        <w:rPr>
          <w:rFonts w:ascii="Arial" w:hAnsi="Arial" w:cs="Arial"/>
          <w:sz w:val="20"/>
        </w:rPr>
      </w:pPr>
      <w:r w:rsidRPr="0088338F">
        <w:rPr>
          <w:rFonts w:ascii="Arial" w:hAnsi="Arial" w:cs="Arial"/>
          <w:sz w:val="20"/>
        </w:rPr>
        <w:t>riadenie portfólia vo vzťahu k finančným nástrojom:</w:t>
      </w:r>
    </w:p>
    <w:p w14:paraId="400E3358" w14:textId="77777777" w:rsidR="001F1517" w:rsidRPr="0088338F" w:rsidRDefault="001F1517" w:rsidP="001F1517">
      <w:pPr>
        <w:pStyle w:val="BodyText"/>
        <w:numPr>
          <w:ilvl w:val="0"/>
          <w:numId w:val="17"/>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prevoditeľné cenné papiere,</w:t>
      </w:r>
    </w:p>
    <w:p w14:paraId="7BD48BEF" w14:textId="77777777" w:rsidR="001F1517" w:rsidRPr="0088338F" w:rsidRDefault="001F1517" w:rsidP="001F1517">
      <w:pPr>
        <w:pStyle w:val="BodyText"/>
        <w:numPr>
          <w:ilvl w:val="0"/>
          <w:numId w:val="17"/>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nástroje peňažného trhu,</w:t>
      </w:r>
    </w:p>
    <w:p w14:paraId="24094F47" w14:textId="77777777" w:rsidR="001F1517" w:rsidRPr="0088338F" w:rsidRDefault="001F1517" w:rsidP="001F1517">
      <w:pPr>
        <w:pStyle w:val="BodyText"/>
        <w:numPr>
          <w:ilvl w:val="0"/>
          <w:numId w:val="17"/>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podielové listy alebo cenné papiere vydané zahraničnými subjektmi kolektívneho investovania,</w:t>
      </w:r>
    </w:p>
    <w:p w14:paraId="14332F96" w14:textId="77777777" w:rsidR="001F1517" w:rsidRPr="0088338F" w:rsidRDefault="001F1517" w:rsidP="001F1517">
      <w:pPr>
        <w:pStyle w:val="BodyText"/>
        <w:numPr>
          <w:ilvl w:val="0"/>
          <w:numId w:val="17"/>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 xml:space="preserve">futures, swapy, forwardy týkajúce sa mien a úrokových mier alebo výnosov, ktoré môžu byť vyrovnané doručením alebo v hotovosti, </w:t>
      </w:r>
    </w:p>
    <w:p w14:paraId="0AB54A56" w14:textId="72E8F515" w:rsidR="001F1517" w:rsidRPr="0088338F" w:rsidRDefault="001F1517" w:rsidP="001F1517">
      <w:pPr>
        <w:numPr>
          <w:ilvl w:val="0"/>
          <w:numId w:val="25"/>
        </w:numPr>
        <w:tabs>
          <w:tab w:val="clear" w:pos="1080"/>
        </w:tabs>
        <w:ind w:left="1135" w:hanging="284"/>
        <w:jc w:val="both"/>
        <w:rPr>
          <w:rFonts w:ascii="Arial" w:hAnsi="Arial" w:cs="Arial"/>
          <w:sz w:val="20"/>
        </w:rPr>
      </w:pPr>
      <w:r w:rsidRPr="0088338F">
        <w:rPr>
          <w:rFonts w:ascii="Arial" w:hAnsi="Arial" w:cs="Arial"/>
          <w:sz w:val="20"/>
        </w:rPr>
        <w:t>investičné poradenstvo vo vzťahu k finančným nástrojom:</w:t>
      </w:r>
    </w:p>
    <w:p w14:paraId="67F18B99" w14:textId="77777777" w:rsidR="001F1517" w:rsidRPr="0088338F" w:rsidRDefault="001F1517" w:rsidP="001F1517">
      <w:pPr>
        <w:pStyle w:val="BodyText"/>
        <w:numPr>
          <w:ilvl w:val="0"/>
          <w:numId w:val="20"/>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prevoditeľné cenné papiere,</w:t>
      </w:r>
    </w:p>
    <w:p w14:paraId="38855BED" w14:textId="77777777" w:rsidR="001F1517" w:rsidRPr="0088338F" w:rsidRDefault="001F1517" w:rsidP="001F1517">
      <w:pPr>
        <w:pStyle w:val="BodyText"/>
        <w:numPr>
          <w:ilvl w:val="0"/>
          <w:numId w:val="20"/>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nástroje peňažného trhu,</w:t>
      </w:r>
    </w:p>
    <w:p w14:paraId="6F2469CA" w14:textId="77777777" w:rsidR="001F1517" w:rsidRPr="0088338F" w:rsidRDefault="001F1517" w:rsidP="001F1517">
      <w:pPr>
        <w:pStyle w:val="BodyText"/>
        <w:numPr>
          <w:ilvl w:val="0"/>
          <w:numId w:val="20"/>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podielové listy alebo cenné papiere vydané zahraničnými subjektmi kolektívneho investovania,</w:t>
      </w:r>
    </w:p>
    <w:p w14:paraId="62FB4A4A" w14:textId="77777777" w:rsidR="001F1517" w:rsidRPr="0088338F" w:rsidRDefault="001F1517" w:rsidP="001F1517">
      <w:pPr>
        <w:pStyle w:val="BodyText"/>
        <w:numPr>
          <w:ilvl w:val="0"/>
          <w:numId w:val="20"/>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 xml:space="preserve">futures, swapy, forwardy týkajúce sa mien a úrokových mier alebo výnosov, ktoré môžu byť vyrovnané doručením alebo v hotovosti, </w:t>
      </w:r>
    </w:p>
    <w:p w14:paraId="5D5DE5E7" w14:textId="6E0F2328" w:rsidR="001F1517" w:rsidRPr="0088338F" w:rsidRDefault="001F1517" w:rsidP="001F1517">
      <w:pPr>
        <w:numPr>
          <w:ilvl w:val="0"/>
          <w:numId w:val="25"/>
        </w:numPr>
        <w:tabs>
          <w:tab w:val="clear" w:pos="1080"/>
        </w:tabs>
        <w:ind w:left="1135" w:hanging="284"/>
        <w:jc w:val="both"/>
        <w:rPr>
          <w:rFonts w:ascii="Arial" w:hAnsi="Arial" w:cs="Arial"/>
          <w:sz w:val="20"/>
        </w:rPr>
      </w:pPr>
      <w:r w:rsidRPr="0088338F">
        <w:rPr>
          <w:rFonts w:ascii="Arial" w:hAnsi="Arial" w:cs="Arial"/>
          <w:sz w:val="20"/>
        </w:rPr>
        <w:t>upisovanie a umiestňovanie finančných nástrojov na základe pevného záväzku vo vzťahu k finančným nástrojom:</w:t>
      </w:r>
    </w:p>
    <w:p w14:paraId="7649B3C5" w14:textId="77777777" w:rsidR="001F1517" w:rsidRPr="0088338F" w:rsidRDefault="001F1517" w:rsidP="001F1517">
      <w:pPr>
        <w:pStyle w:val="BodyText"/>
        <w:numPr>
          <w:ilvl w:val="0"/>
          <w:numId w:val="18"/>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prevoditeľné cenné papiere,</w:t>
      </w:r>
    </w:p>
    <w:p w14:paraId="04827924" w14:textId="77777777" w:rsidR="001F1517" w:rsidRPr="0088338F" w:rsidRDefault="001F1517" w:rsidP="001F1517">
      <w:pPr>
        <w:pStyle w:val="BodyText"/>
        <w:numPr>
          <w:ilvl w:val="0"/>
          <w:numId w:val="18"/>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nástroje peňažného trhu,</w:t>
      </w:r>
    </w:p>
    <w:p w14:paraId="1C6E1533" w14:textId="77777777" w:rsidR="001F1517" w:rsidRPr="0088338F" w:rsidRDefault="001F1517" w:rsidP="001F1517">
      <w:pPr>
        <w:pStyle w:val="BodyText"/>
        <w:numPr>
          <w:ilvl w:val="0"/>
          <w:numId w:val="18"/>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podielové listy alebo cenné papiere vydané zahraničnými subjektmi kolektívneho investovania,</w:t>
      </w:r>
    </w:p>
    <w:p w14:paraId="46300511" w14:textId="77777777" w:rsidR="001F1517" w:rsidRPr="0088338F" w:rsidRDefault="001F1517" w:rsidP="001F1517">
      <w:pPr>
        <w:numPr>
          <w:ilvl w:val="0"/>
          <w:numId w:val="25"/>
        </w:numPr>
        <w:tabs>
          <w:tab w:val="clear" w:pos="1080"/>
        </w:tabs>
        <w:ind w:left="1191" w:hanging="340"/>
        <w:jc w:val="both"/>
        <w:rPr>
          <w:rFonts w:ascii="Arial" w:hAnsi="Arial" w:cs="Arial"/>
          <w:sz w:val="20"/>
        </w:rPr>
      </w:pPr>
      <w:r w:rsidRPr="0088338F">
        <w:rPr>
          <w:rFonts w:ascii="Arial" w:hAnsi="Arial" w:cs="Arial"/>
          <w:sz w:val="20"/>
        </w:rPr>
        <w:t>umiestňovanie finančných nástrojov bez pevného záväzku vo vzťahu k finančným nástrojom:</w:t>
      </w:r>
    </w:p>
    <w:p w14:paraId="3B3F3837" w14:textId="77777777" w:rsidR="001F1517" w:rsidRPr="0088338F" w:rsidRDefault="001F1517" w:rsidP="001F1517">
      <w:pPr>
        <w:pStyle w:val="BodyText"/>
        <w:numPr>
          <w:ilvl w:val="0"/>
          <w:numId w:val="19"/>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prevoditeľné cenné papiere,</w:t>
      </w:r>
    </w:p>
    <w:p w14:paraId="035C640F" w14:textId="77777777" w:rsidR="001F1517" w:rsidRPr="0088338F" w:rsidRDefault="001F1517" w:rsidP="001F1517">
      <w:pPr>
        <w:pStyle w:val="BodyText"/>
        <w:numPr>
          <w:ilvl w:val="0"/>
          <w:numId w:val="19"/>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nástroje peňažného trhu,</w:t>
      </w:r>
    </w:p>
    <w:p w14:paraId="0A775145" w14:textId="77777777" w:rsidR="001F1517" w:rsidRPr="0088338F" w:rsidRDefault="001F1517" w:rsidP="001F1517">
      <w:pPr>
        <w:pStyle w:val="BodyText"/>
        <w:numPr>
          <w:ilvl w:val="0"/>
          <w:numId w:val="19"/>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podielové listy alebo cenné papiere vydané zahraničnými subjektmi kolektívneho investovania,</w:t>
      </w:r>
    </w:p>
    <w:p w14:paraId="1E7571ED" w14:textId="77777777" w:rsidR="001F1517" w:rsidRPr="0088338F" w:rsidRDefault="001F1517" w:rsidP="001F1517">
      <w:pPr>
        <w:numPr>
          <w:ilvl w:val="0"/>
          <w:numId w:val="25"/>
        </w:numPr>
        <w:tabs>
          <w:tab w:val="clear" w:pos="1080"/>
        </w:tabs>
        <w:ind w:left="1248" w:hanging="397"/>
        <w:jc w:val="both"/>
        <w:rPr>
          <w:rFonts w:ascii="Arial" w:hAnsi="Arial" w:cs="Arial"/>
          <w:sz w:val="20"/>
        </w:rPr>
      </w:pPr>
      <w:r w:rsidRPr="0088338F">
        <w:rPr>
          <w:rFonts w:ascii="Arial" w:hAnsi="Arial" w:cs="Arial"/>
          <w:sz w:val="20"/>
        </w:rPr>
        <w:t>úschova a správa finančných nástrojov na účet klienta, vrátane držiteľskej správy, a súvisiacich služieb, najmä správy peňažných prostriedkov a finančných zábezpek vo vzťahu k finančným nástrojom:</w:t>
      </w:r>
    </w:p>
    <w:p w14:paraId="1AA04ADF" w14:textId="77777777" w:rsidR="001F1517" w:rsidRPr="0088338F" w:rsidRDefault="001F1517" w:rsidP="001F1517">
      <w:pPr>
        <w:pStyle w:val="BodyText"/>
        <w:numPr>
          <w:ilvl w:val="0"/>
          <w:numId w:val="21"/>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prevoditeľné cenné papiere,</w:t>
      </w:r>
    </w:p>
    <w:p w14:paraId="12650237" w14:textId="77777777" w:rsidR="001F1517" w:rsidRPr="0088338F" w:rsidRDefault="001F1517" w:rsidP="001F1517">
      <w:pPr>
        <w:pStyle w:val="BodyText"/>
        <w:numPr>
          <w:ilvl w:val="0"/>
          <w:numId w:val="21"/>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nástroje peňažného trhu,</w:t>
      </w:r>
    </w:p>
    <w:p w14:paraId="4812AA1B" w14:textId="77777777" w:rsidR="001F1517" w:rsidRPr="0088338F" w:rsidRDefault="001F1517" w:rsidP="001F1517">
      <w:pPr>
        <w:pStyle w:val="BodyText"/>
        <w:numPr>
          <w:ilvl w:val="0"/>
          <w:numId w:val="21"/>
        </w:numPr>
        <w:tabs>
          <w:tab w:val="clear" w:pos="643"/>
        </w:tabs>
        <w:spacing w:after="0"/>
        <w:ind w:left="1418" w:hanging="284"/>
        <w:jc w:val="both"/>
        <w:rPr>
          <w:rFonts w:ascii="Arial" w:hAnsi="Arial" w:cs="Arial"/>
          <w:iCs/>
          <w:sz w:val="20"/>
          <w:szCs w:val="20"/>
        </w:rPr>
      </w:pPr>
      <w:r w:rsidRPr="0088338F">
        <w:rPr>
          <w:rFonts w:ascii="Arial" w:hAnsi="Arial" w:cs="Arial"/>
          <w:iCs/>
          <w:sz w:val="20"/>
          <w:szCs w:val="20"/>
        </w:rPr>
        <w:t>podielové listy alebo cenné papiere vydané zahraničnými subjektmi kolektívneho investovania,</w:t>
      </w:r>
    </w:p>
    <w:p w14:paraId="0F14BB82" w14:textId="55C4B189" w:rsidR="001F1517" w:rsidRPr="0088338F" w:rsidRDefault="001F1517" w:rsidP="001F1517">
      <w:pPr>
        <w:numPr>
          <w:ilvl w:val="0"/>
          <w:numId w:val="25"/>
        </w:numPr>
        <w:tabs>
          <w:tab w:val="clear" w:pos="1080"/>
        </w:tabs>
        <w:ind w:left="1135" w:hanging="284"/>
        <w:jc w:val="both"/>
        <w:rPr>
          <w:rFonts w:ascii="Arial" w:hAnsi="Arial" w:cs="Arial"/>
          <w:sz w:val="20"/>
        </w:rPr>
      </w:pPr>
      <w:r w:rsidRPr="0088338F">
        <w:rPr>
          <w:rFonts w:ascii="Arial" w:hAnsi="Arial" w:cs="Arial"/>
          <w:sz w:val="20"/>
        </w:rPr>
        <w:t>poskytovanie úverov a pôžičiek investorovi na umožnenie vykonania obchodu s jedným alebo viacerými finančnými nástrojmi, ak je poskytovateľ úveru alebo pôžičky zapojený do tohto obchodu,</w:t>
      </w:r>
    </w:p>
    <w:p w14:paraId="296A1AB5" w14:textId="75DBC648" w:rsidR="001F1517" w:rsidRPr="0088338F" w:rsidRDefault="001F1517" w:rsidP="001F1517">
      <w:pPr>
        <w:numPr>
          <w:ilvl w:val="0"/>
          <w:numId w:val="25"/>
        </w:numPr>
        <w:tabs>
          <w:tab w:val="clear" w:pos="1080"/>
        </w:tabs>
        <w:ind w:left="1135" w:hanging="284"/>
        <w:jc w:val="both"/>
        <w:rPr>
          <w:rFonts w:ascii="Arial" w:hAnsi="Arial" w:cs="Arial"/>
          <w:sz w:val="20"/>
        </w:rPr>
      </w:pPr>
      <w:r w:rsidRPr="0088338F">
        <w:rPr>
          <w:rFonts w:ascii="Arial" w:hAnsi="Arial" w:cs="Arial"/>
          <w:sz w:val="20"/>
        </w:rPr>
        <w:t xml:space="preserve">vykonávanie obchodov s devízovými hodnotami, ak sú spojené s poskytovaním investičných služieb, </w:t>
      </w:r>
    </w:p>
    <w:p w14:paraId="668F593C" w14:textId="0B52BF7B" w:rsidR="001F1517" w:rsidRPr="0088338F" w:rsidRDefault="001F1517" w:rsidP="001F1517">
      <w:pPr>
        <w:numPr>
          <w:ilvl w:val="0"/>
          <w:numId w:val="25"/>
        </w:numPr>
        <w:tabs>
          <w:tab w:val="clear" w:pos="1080"/>
        </w:tabs>
        <w:ind w:left="1135" w:hanging="284"/>
        <w:jc w:val="both"/>
        <w:rPr>
          <w:rFonts w:ascii="Arial" w:hAnsi="Arial" w:cs="Arial"/>
          <w:sz w:val="20"/>
        </w:rPr>
      </w:pPr>
      <w:r w:rsidRPr="0088338F">
        <w:rPr>
          <w:rFonts w:ascii="Arial" w:hAnsi="Arial" w:cs="Arial"/>
          <w:sz w:val="20"/>
        </w:rPr>
        <w:t>vykonávanie investičného prieskumu a finančnej analýzy alebo inej formy všeobecného odporúčania týkajúceho sa obchodov s týmito finančnými nástrojmi,</w:t>
      </w:r>
    </w:p>
    <w:p w14:paraId="245F3794" w14:textId="77777777" w:rsidR="001F1517" w:rsidRPr="0088338F" w:rsidRDefault="001F1517" w:rsidP="001F1517">
      <w:pPr>
        <w:numPr>
          <w:ilvl w:val="0"/>
          <w:numId w:val="25"/>
        </w:numPr>
        <w:tabs>
          <w:tab w:val="clear" w:pos="1080"/>
        </w:tabs>
        <w:ind w:left="1191" w:hanging="340"/>
        <w:jc w:val="both"/>
        <w:rPr>
          <w:rFonts w:ascii="Arial" w:hAnsi="Arial" w:cs="Arial"/>
          <w:sz w:val="20"/>
        </w:rPr>
      </w:pPr>
      <w:r w:rsidRPr="0088338F">
        <w:rPr>
          <w:rFonts w:ascii="Arial" w:hAnsi="Arial" w:cs="Arial"/>
          <w:sz w:val="20"/>
        </w:rPr>
        <w:t>služby spojené s upisovaním finančných nástrojov,</w:t>
      </w:r>
    </w:p>
    <w:p w14:paraId="73E3E801" w14:textId="77777777" w:rsidR="001F1517" w:rsidRPr="0088338F" w:rsidRDefault="001F1517" w:rsidP="001F1517">
      <w:pPr>
        <w:numPr>
          <w:ilvl w:val="0"/>
          <w:numId w:val="9"/>
        </w:numPr>
        <w:tabs>
          <w:tab w:val="clear" w:pos="1854"/>
          <w:tab w:val="num" w:pos="900"/>
        </w:tabs>
        <w:ind w:left="738" w:hanging="284"/>
        <w:jc w:val="both"/>
        <w:rPr>
          <w:rFonts w:ascii="Arial" w:hAnsi="Arial" w:cs="Arial"/>
          <w:sz w:val="20"/>
        </w:rPr>
      </w:pPr>
      <w:r w:rsidRPr="0088338F">
        <w:rPr>
          <w:rFonts w:ascii="Arial" w:hAnsi="Arial" w:cs="Arial"/>
          <w:sz w:val="20"/>
        </w:rPr>
        <w:t>poskytovanie platobných služieb a zúčtovanie,</w:t>
      </w:r>
    </w:p>
    <w:p w14:paraId="094853E5" w14:textId="77777777" w:rsidR="001F1517" w:rsidRPr="0088338F" w:rsidRDefault="001F1517" w:rsidP="001F1517">
      <w:pPr>
        <w:numPr>
          <w:ilvl w:val="0"/>
          <w:numId w:val="9"/>
        </w:numPr>
        <w:tabs>
          <w:tab w:val="clear" w:pos="1854"/>
          <w:tab w:val="num" w:pos="900"/>
        </w:tabs>
        <w:ind w:left="738" w:hanging="284"/>
        <w:jc w:val="both"/>
        <w:rPr>
          <w:rFonts w:ascii="Arial" w:hAnsi="Arial" w:cs="Arial"/>
          <w:sz w:val="20"/>
        </w:rPr>
      </w:pPr>
      <w:r w:rsidRPr="0088338F">
        <w:rPr>
          <w:rFonts w:ascii="Arial" w:hAnsi="Arial" w:cs="Arial"/>
          <w:sz w:val="20"/>
        </w:rPr>
        <w:t>vydávanie a správa elektronických peňazí.</w:t>
      </w:r>
    </w:p>
    <w:p w14:paraId="36C73077" w14:textId="77777777" w:rsidR="001F1517" w:rsidRPr="0088338F" w:rsidRDefault="001F1517" w:rsidP="00E8798E">
      <w:pPr>
        <w:jc w:val="both"/>
        <w:rPr>
          <w:rFonts w:ascii="Arial" w:hAnsi="Arial" w:cs="Arial"/>
          <w:sz w:val="20"/>
        </w:rPr>
      </w:pPr>
    </w:p>
    <w:p w14:paraId="129B0885" w14:textId="77777777" w:rsidR="001F1517" w:rsidRPr="0088338F" w:rsidRDefault="001F1517" w:rsidP="00E8798E">
      <w:pPr>
        <w:jc w:val="both"/>
        <w:rPr>
          <w:rFonts w:ascii="Arial" w:hAnsi="Arial" w:cs="Arial"/>
          <w:sz w:val="20"/>
        </w:rPr>
      </w:pPr>
    </w:p>
    <w:p w14:paraId="60A28E23" w14:textId="77777777" w:rsidR="006E610F" w:rsidRPr="0088338F" w:rsidRDefault="006E610F" w:rsidP="00E8798E">
      <w:pPr>
        <w:jc w:val="both"/>
        <w:rPr>
          <w:rFonts w:ascii="Arial" w:hAnsi="Arial" w:cs="Arial"/>
          <w:sz w:val="20"/>
        </w:rPr>
      </w:pPr>
    </w:p>
    <w:p w14:paraId="5733BAEA" w14:textId="045060DA" w:rsidR="00E8798E" w:rsidRPr="0088338F" w:rsidRDefault="006E610F" w:rsidP="00E8798E">
      <w:pPr>
        <w:jc w:val="both"/>
        <w:rPr>
          <w:rFonts w:ascii="Arial" w:hAnsi="Arial" w:cs="Arial"/>
          <w:b/>
          <w:bCs/>
          <w:sz w:val="20"/>
        </w:rPr>
      </w:pPr>
      <w:r w:rsidRPr="0088338F">
        <w:rPr>
          <w:rFonts w:ascii="Arial" w:hAnsi="Arial" w:cs="Arial"/>
          <w:sz w:val="20"/>
        </w:rPr>
        <w:br w:type="page"/>
      </w:r>
      <w:r w:rsidR="00E8798E" w:rsidRPr="0088338F">
        <w:rPr>
          <w:rFonts w:ascii="Arial" w:hAnsi="Arial" w:cs="Arial"/>
          <w:b/>
          <w:bCs/>
          <w:sz w:val="20"/>
        </w:rPr>
        <w:lastRenderedPageBreak/>
        <w:t>Akcionárska štruktúra</w:t>
      </w:r>
    </w:p>
    <w:p w14:paraId="769699EA" w14:textId="77777777" w:rsidR="00E8798E" w:rsidRPr="0088338F" w:rsidRDefault="00E8798E" w:rsidP="00E8798E">
      <w:pPr>
        <w:jc w:val="both"/>
        <w:rPr>
          <w:rFonts w:ascii="Arial" w:hAnsi="Arial" w:cs="Arial"/>
          <w:sz w:val="20"/>
        </w:rPr>
      </w:pPr>
      <w:r w:rsidRPr="0088338F">
        <w:rPr>
          <w:rFonts w:ascii="Arial" w:hAnsi="Arial" w:cs="Arial"/>
          <w:sz w:val="20"/>
        </w:rPr>
        <w:t>Akcionárska štruktúra je nasledovná:</w:t>
      </w:r>
    </w:p>
    <w:bookmarkStart w:id="4" w:name="_MON_1324806204"/>
    <w:bookmarkStart w:id="5" w:name="_MON_1332404955"/>
    <w:bookmarkStart w:id="6" w:name="_MON_1340181613"/>
    <w:bookmarkStart w:id="7" w:name="_MON_1348571481"/>
    <w:bookmarkStart w:id="8" w:name="_MON_1356329535"/>
    <w:bookmarkStart w:id="9" w:name="_MON_1363954150"/>
    <w:bookmarkStart w:id="10" w:name="_MON_1371993732"/>
    <w:bookmarkStart w:id="11" w:name="_MON_1380089907"/>
    <w:bookmarkStart w:id="12" w:name="_MON_1387447184"/>
    <w:bookmarkStart w:id="13" w:name="_MON_1394965908"/>
    <w:bookmarkStart w:id="14" w:name="_MON_1394966201"/>
    <w:bookmarkStart w:id="15" w:name="_MON_1394968241"/>
    <w:bookmarkStart w:id="16" w:name="_MON_1401616973"/>
    <w:bookmarkStart w:id="17" w:name="_MON_1410154597"/>
    <w:bookmarkStart w:id="18" w:name="_MON_1415093893"/>
    <w:bookmarkStart w:id="19" w:name="_MON_1419920650"/>
    <w:bookmarkStart w:id="20" w:name="_MON_1422167121"/>
    <w:bookmarkStart w:id="21" w:name="_MON_1453619811"/>
    <w:bookmarkStart w:id="22" w:name="_MON_1454133441"/>
    <w:bookmarkStart w:id="23" w:name="_MON_1454306775"/>
    <w:bookmarkStart w:id="24" w:name="_MON_1206350134"/>
    <w:bookmarkStart w:id="25" w:name="_MON_1206350212"/>
    <w:bookmarkStart w:id="26" w:name="_MON_1206350223"/>
    <w:bookmarkStart w:id="27" w:name="_MON_1206350236"/>
    <w:bookmarkStart w:id="28" w:name="_MON_1206350249"/>
    <w:bookmarkStart w:id="29" w:name="_MON_1206350390"/>
    <w:bookmarkStart w:id="30" w:name="_MON_1206354542"/>
    <w:bookmarkStart w:id="31" w:name="_MON_1206354614"/>
    <w:bookmarkStart w:id="32" w:name="_MON_1206356273"/>
    <w:bookmarkStart w:id="33" w:name="_MON_1206711073"/>
    <w:bookmarkStart w:id="34" w:name="_MON_1206711083"/>
    <w:bookmarkStart w:id="35" w:name="_MON_1213870451"/>
    <w:bookmarkStart w:id="36" w:name="_MON_1213870457"/>
    <w:bookmarkStart w:id="37" w:name="_MON_1215701859"/>
    <w:bookmarkStart w:id="38" w:name="_MON_1215701873"/>
    <w:bookmarkStart w:id="39" w:name="_MON_1217317157"/>
    <w:bookmarkStart w:id="40" w:name="_MON_1249391595"/>
    <w:bookmarkStart w:id="41" w:name="_MON_1249393831"/>
    <w:bookmarkStart w:id="42" w:name="_MON_1249394011"/>
    <w:bookmarkStart w:id="43" w:name="_MON_1249457208"/>
    <w:bookmarkStart w:id="44" w:name="_MON_1249457238"/>
    <w:bookmarkStart w:id="45" w:name="_MON_1262946003"/>
    <w:bookmarkStart w:id="46" w:name="_MON_1262947871"/>
    <w:bookmarkStart w:id="47" w:name="_MON_1264948909"/>
    <w:bookmarkStart w:id="48" w:name="_MON_1288351333"/>
    <w:bookmarkStart w:id="49" w:name="_MON_1289454088"/>
    <w:bookmarkStart w:id="50" w:name="_MON_1297085719"/>
    <w:bookmarkStart w:id="51" w:name="_MON_1300709661"/>
    <w:bookmarkStart w:id="52" w:name="_MON_130855017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316513152"/>
    <w:bookmarkEnd w:id="53"/>
    <w:p w14:paraId="0A9BB054" w14:textId="6BFC341A" w:rsidR="00E8798E" w:rsidRPr="0088338F" w:rsidRDefault="007216BD" w:rsidP="00E8798E">
      <w:pPr>
        <w:pStyle w:val="NormlnyArial"/>
      </w:pPr>
      <w:r w:rsidRPr="0088338F">
        <w:object w:dxaOrig="9669" w:dyaOrig="1285" w14:anchorId="72D31E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66pt" o:ole="" o:preferrelative="f">
            <v:imagedata r:id="rId23" o:title=""/>
            <o:lock v:ext="edit" aspectratio="f"/>
          </v:shape>
          <o:OLEObject Type="Embed" ProgID="Excel.Sheet.8" ShapeID="_x0000_i1025" DrawAspect="Content" ObjectID="_1551591526" r:id="rId24"/>
        </w:object>
      </w:r>
    </w:p>
    <w:p w14:paraId="11C845FC" w14:textId="77777777" w:rsidR="002513CA" w:rsidRPr="0088338F" w:rsidRDefault="002513CA" w:rsidP="008E1505">
      <w:pPr>
        <w:jc w:val="both"/>
        <w:rPr>
          <w:rFonts w:ascii="Arial" w:hAnsi="Arial" w:cs="Arial"/>
          <w:sz w:val="20"/>
        </w:rPr>
      </w:pPr>
    </w:p>
    <w:p w14:paraId="4B318241" w14:textId="77777777" w:rsidR="00BB57A0" w:rsidRPr="0088338F" w:rsidRDefault="00BB57A0" w:rsidP="00BB57A0">
      <w:pPr>
        <w:jc w:val="both"/>
        <w:rPr>
          <w:rFonts w:ascii="Arial" w:hAnsi="Arial" w:cs="Arial"/>
          <w:sz w:val="20"/>
        </w:rPr>
      </w:pPr>
      <w:r w:rsidRPr="0088338F">
        <w:rPr>
          <w:rFonts w:ascii="Arial" w:hAnsi="Arial" w:cs="Arial"/>
          <w:sz w:val="20"/>
        </w:rPr>
        <w:t>Bezprostredne konsolidujúcou účtovnou jednotkou je spoločnosť Penta Investments Limited so sídlom 47 Esplanade, Channel Islands, JE1 0BD St. Helier, Jersey.</w:t>
      </w:r>
    </w:p>
    <w:p w14:paraId="455EC9CF" w14:textId="77777777" w:rsidR="00BB57A0" w:rsidRPr="0088338F" w:rsidRDefault="00BB57A0" w:rsidP="00BB57A0">
      <w:pPr>
        <w:jc w:val="both"/>
        <w:rPr>
          <w:rFonts w:ascii="Arial" w:hAnsi="Arial" w:cs="Arial"/>
          <w:sz w:val="20"/>
        </w:rPr>
      </w:pPr>
    </w:p>
    <w:p w14:paraId="6070EE01" w14:textId="77777777" w:rsidR="00BB57A0" w:rsidRPr="0088338F" w:rsidRDefault="00BB57A0" w:rsidP="00BB57A0">
      <w:pPr>
        <w:jc w:val="both"/>
        <w:rPr>
          <w:rFonts w:ascii="Arial" w:hAnsi="Arial" w:cs="Arial"/>
          <w:sz w:val="20"/>
        </w:rPr>
      </w:pPr>
      <w:r w:rsidRPr="0088338F">
        <w:rPr>
          <w:rFonts w:ascii="Arial" w:hAnsi="Arial" w:cs="Arial"/>
          <w:sz w:val="20"/>
        </w:rPr>
        <w:t xml:space="preserve">Hlavná materská spoločnosť je </w:t>
      </w:r>
      <w:r w:rsidRPr="0088338F">
        <w:rPr>
          <w:rFonts w:ascii="Arial" w:hAnsi="Arial" w:cs="Arial"/>
          <w:sz w:val="20"/>
          <w:szCs w:val="20"/>
        </w:rPr>
        <w:t>Penta Investments Group Limited</w:t>
      </w:r>
      <w:r w:rsidRPr="0088338F">
        <w:rPr>
          <w:rFonts w:ascii="Arial" w:hAnsi="Arial" w:cs="Arial"/>
          <w:sz w:val="20"/>
        </w:rPr>
        <w:t xml:space="preserve"> so sídlom </w:t>
      </w:r>
      <w:r w:rsidRPr="0088338F">
        <w:rPr>
          <w:rFonts w:ascii="Arial" w:hAnsi="Arial" w:cs="Arial"/>
          <w:sz w:val="20"/>
          <w:szCs w:val="20"/>
        </w:rPr>
        <w:t>47 Esplanade, Channel Islands, JE1 0BD St. Helier, Jersey</w:t>
      </w:r>
      <w:r w:rsidRPr="0088338F">
        <w:rPr>
          <w:rFonts w:ascii="Arial" w:hAnsi="Arial" w:cs="Arial"/>
          <w:sz w:val="20"/>
        </w:rPr>
        <w:t>.</w:t>
      </w:r>
    </w:p>
    <w:p w14:paraId="6767741A" w14:textId="77777777" w:rsidR="00BB57A0" w:rsidRPr="0088338F" w:rsidRDefault="00BB57A0" w:rsidP="00BB57A0">
      <w:pPr>
        <w:jc w:val="both"/>
        <w:rPr>
          <w:rFonts w:ascii="Arial" w:hAnsi="Arial" w:cs="Arial"/>
          <w:sz w:val="20"/>
        </w:rPr>
      </w:pPr>
    </w:p>
    <w:p w14:paraId="06DDFE30" w14:textId="77777777" w:rsidR="00BB57A0" w:rsidRPr="0088338F" w:rsidRDefault="00BB57A0" w:rsidP="00BB57A0">
      <w:pPr>
        <w:jc w:val="both"/>
        <w:rPr>
          <w:rFonts w:ascii="Arial" w:hAnsi="Arial" w:cs="Arial"/>
          <w:sz w:val="20"/>
        </w:rPr>
      </w:pPr>
      <w:r w:rsidRPr="0088338F">
        <w:rPr>
          <w:rFonts w:ascii="Arial" w:hAnsi="Arial" w:cs="Arial"/>
          <w:sz w:val="20"/>
        </w:rPr>
        <w:t>Konsolidované účtovné závierky sú dostupné v spoločnosti Penta Investments Limited.</w:t>
      </w:r>
    </w:p>
    <w:p w14:paraId="0D6D2AC4" w14:textId="77777777" w:rsidR="00BB57A0" w:rsidRPr="0088338F" w:rsidRDefault="00BB57A0" w:rsidP="00BB57A0">
      <w:pPr>
        <w:jc w:val="both"/>
        <w:rPr>
          <w:rFonts w:ascii="Arial" w:hAnsi="Arial" w:cs="Arial"/>
          <w:b/>
          <w:bCs/>
          <w:sz w:val="20"/>
        </w:rPr>
      </w:pPr>
    </w:p>
    <w:p w14:paraId="300E64F1" w14:textId="77777777" w:rsidR="00BB57A0" w:rsidRPr="0088338F" w:rsidRDefault="00BB57A0" w:rsidP="00BB57A0">
      <w:pPr>
        <w:jc w:val="both"/>
        <w:rPr>
          <w:rFonts w:ascii="Arial" w:hAnsi="Arial" w:cs="Arial"/>
          <w:b/>
          <w:bCs/>
          <w:sz w:val="20"/>
        </w:rPr>
      </w:pPr>
      <w:r w:rsidRPr="0088338F">
        <w:rPr>
          <w:rFonts w:ascii="Arial" w:hAnsi="Arial" w:cs="Arial"/>
          <w:b/>
          <w:bCs/>
          <w:sz w:val="20"/>
        </w:rPr>
        <w:t>Investície v dcérskych spoločnostiach</w:t>
      </w:r>
    </w:p>
    <w:p w14:paraId="33432CD2" w14:textId="5F268C51" w:rsidR="00BB57A0" w:rsidRPr="0088338F" w:rsidRDefault="00BB57A0" w:rsidP="00BB57A0">
      <w:pPr>
        <w:jc w:val="both"/>
        <w:rPr>
          <w:rFonts w:ascii="Arial" w:hAnsi="Arial" w:cs="Arial"/>
          <w:sz w:val="20"/>
        </w:rPr>
      </w:pPr>
      <w:r w:rsidRPr="0088338F">
        <w:rPr>
          <w:rFonts w:ascii="Arial" w:hAnsi="Arial" w:cs="Arial"/>
          <w:sz w:val="20"/>
        </w:rPr>
        <w:t>K 31. decembru 201</w:t>
      </w:r>
      <w:r w:rsidR="00A80B77" w:rsidRPr="0088338F">
        <w:rPr>
          <w:rFonts w:ascii="Arial" w:hAnsi="Arial" w:cs="Arial"/>
          <w:sz w:val="20"/>
        </w:rPr>
        <w:t>6</w:t>
      </w:r>
      <w:r w:rsidRPr="0088338F">
        <w:rPr>
          <w:rFonts w:ascii="Arial" w:hAnsi="Arial" w:cs="Arial"/>
          <w:sz w:val="20"/>
        </w:rPr>
        <w:t xml:space="preserve"> mala banka nasledovnú dcérsku spoločnosť:</w:t>
      </w:r>
    </w:p>
    <w:bookmarkStart w:id="54" w:name="_MON_1217505240"/>
    <w:bookmarkStart w:id="55" w:name="_MON_1217526972"/>
    <w:bookmarkStart w:id="56" w:name="_MON_1297085798"/>
    <w:bookmarkStart w:id="57" w:name="_MON_1206351153"/>
    <w:bookmarkStart w:id="58" w:name="_MON_1206351258"/>
    <w:bookmarkStart w:id="59" w:name="_MON_1206351274"/>
    <w:bookmarkStart w:id="60" w:name="_MON_1206711045"/>
    <w:bookmarkStart w:id="61" w:name="_MON_1206711063"/>
    <w:bookmarkStart w:id="62" w:name="_MON_1206711440"/>
    <w:bookmarkStart w:id="63" w:name="_MON_1206711461"/>
    <w:bookmarkEnd w:id="54"/>
    <w:bookmarkEnd w:id="55"/>
    <w:bookmarkEnd w:id="56"/>
    <w:bookmarkEnd w:id="57"/>
    <w:bookmarkEnd w:id="58"/>
    <w:bookmarkEnd w:id="59"/>
    <w:bookmarkEnd w:id="60"/>
    <w:bookmarkEnd w:id="61"/>
    <w:bookmarkEnd w:id="62"/>
    <w:bookmarkEnd w:id="63"/>
    <w:bookmarkStart w:id="64" w:name="_MON_1214125026"/>
    <w:bookmarkEnd w:id="64"/>
    <w:p w14:paraId="331B41C4" w14:textId="77777777" w:rsidR="00BB57A0" w:rsidRPr="0088338F" w:rsidRDefault="00BB57A0" w:rsidP="00BB57A0">
      <w:pPr>
        <w:jc w:val="both"/>
        <w:rPr>
          <w:rFonts w:ascii="Arial" w:hAnsi="Arial" w:cs="Arial"/>
          <w:sz w:val="20"/>
        </w:rPr>
      </w:pPr>
      <w:r w:rsidRPr="0088338F">
        <w:rPr>
          <w:rFonts w:ascii="Arial" w:hAnsi="Arial" w:cs="Arial"/>
        </w:rPr>
        <w:object w:dxaOrig="9700" w:dyaOrig="1270" w14:anchorId="2838D167">
          <v:shape id="_x0000_i1026" type="#_x0000_t75" style="width:448.8pt;height:66pt" o:ole="" o:preferrelative="f">
            <v:imagedata r:id="rId25" o:title=""/>
            <o:lock v:ext="edit" aspectratio="f"/>
          </v:shape>
          <o:OLEObject Type="Embed" ProgID="Excel.Sheet.8" ShapeID="_x0000_i1026" DrawAspect="Content" ObjectID="_1551591527" r:id="rId26"/>
        </w:object>
      </w:r>
    </w:p>
    <w:p w14:paraId="37B6CF00" w14:textId="77777777" w:rsidR="00BB57A0" w:rsidRPr="0088338F" w:rsidRDefault="00BB57A0" w:rsidP="00BB57A0">
      <w:pPr>
        <w:jc w:val="both"/>
        <w:rPr>
          <w:rFonts w:ascii="Arial" w:hAnsi="Arial" w:cs="Arial"/>
          <w:bCs/>
          <w:iCs/>
          <w:sz w:val="20"/>
        </w:rPr>
      </w:pPr>
    </w:p>
    <w:p w14:paraId="7B3001D2" w14:textId="54D34D7E" w:rsidR="00BB57A0" w:rsidRPr="0088338F" w:rsidRDefault="00BB57A0" w:rsidP="00BB57A0">
      <w:pPr>
        <w:jc w:val="both"/>
        <w:rPr>
          <w:rFonts w:ascii="Arial" w:hAnsi="Arial" w:cs="Arial"/>
          <w:bCs/>
          <w:iCs/>
          <w:sz w:val="20"/>
        </w:rPr>
      </w:pPr>
      <w:r w:rsidRPr="0088338F">
        <w:rPr>
          <w:rFonts w:ascii="Arial" w:hAnsi="Arial" w:cs="Arial"/>
          <w:bCs/>
          <w:iCs/>
          <w:sz w:val="20"/>
        </w:rPr>
        <w:t>Spoločnosť Privatfin, s.r.o., so sídlom na adrese Einsteinova 25</w:t>
      </w:r>
      <w:r w:rsidRPr="0088338F">
        <w:rPr>
          <w:rFonts w:ascii="Arial" w:hAnsi="Arial" w:cs="Arial"/>
          <w:bCs/>
          <w:iCs/>
          <w:sz w:val="20"/>
          <w:szCs w:val="20"/>
        </w:rPr>
        <w:t xml:space="preserve">, 851 01 Bratislava, IČO: </w:t>
      </w:r>
      <w:r w:rsidRPr="0088338F">
        <w:rPr>
          <w:rFonts w:ascii="Arial" w:hAnsi="Arial" w:cs="Arial"/>
          <w:sz w:val="20"/>
          <w:szCs w:val="20"/>
        </w:rPr>
        <w:t>36 037 869 je zapísaná v Obchodnom registri Okresného súdu Bratislava I, oddiel: Sro, vložka č. 40865/B</w:t>
      </w:r>
      <w:r w:rsidRPr="0088338F">
        <w:rPr>
          <w:rFonts w:ascii="Arial" w:hAnsi="Arial" w:cs="Arial"/>
          <w:bCs/>
          <w:iCs/>
          <w:sz w:val="20"/>
        </w:rPr>
        <w:t>. Spoločnosť nevykoná</w:t>
      </w:r>
      <w:r w:rsidR="00067E19" w:rsidRPr="0088338F">
        <w:rPr>
          <w:rFonts w:ascii="Arial" w:hAnsi="Arial" w:cs="Arial"/>
          <w:bCs/>
          <w:iCs/>
          <w:sz w:val="20"/>
        </w:rPr>
        <w:t>va činnosti vo významnom objeme a k 31. decembru 201</w:t>
      </w:r>
      <w:r w:rsidR="00A80B77" w:rsidRPr="0088338F">
        <w:rPr>
          <w:rFonts w:ascii="Arial" w:hAnsi="Arial" w:cs="Arial"/>
          <w:bCs/>
          <w:iCs/>
          <w:sz w:val="20"/>
        </w:rPr>
        <w:t>6</w:t>
      </w:r>
      <w:r w:rsidR="00067E19" w:rsidRPr="0088338F">
        <w:rPr>
          <w:rFonts w:ascii="Arial" w:hAnsi="Arial" w:cs="Arial"/>
          <w:bCs/>
          <w:iCs/>
          <w:sz w:val="20"/>
        </w:rPr>
        <w:t xml:space="preserve"> dosiahla </w:t>
      </w:r>
      <w:r w:rsidR="00CA5640" w:rsidRPr="0088338F">
        <w:rPr>
          <w:rFonts w:ascii="Arial" w:hAnsi="Arial" w:cs="Arial"/>
          <w:bCs/>
          <w:iCs/>
          <w:sz w:val="20"/>
        </w:rPr>
        <w:t>stratu</w:t>
      </w:r>
      <w:r w:rsidR="001433F2" w:rsidRPr="0088338F">
        <w:rPr>
          <w:rFonts w:ascii="Arial" w:hAnsi="Arial" w:cs="Arial"/>
          <w:bCs/>
          <w:iCs/>
          <w:sz w:val="20"/>
        </w:rPr>
        <w:t xml:space="preserve"> </w:t>
      </w:r>
      <w:r w:rsidR="00067E19" w:rsidRPr="0088338F">
        <w:rPr>
          <w:rFonts w:ascii="Arial" w:hAnsi="Arial" w:cs="Arial"/>
          <w:bCs/>
          <w:iCs/>
          <w:sz w:val="20"/>
        </w:rPr>
        <w:t xml:space="preserve">v objeme </w:t>
      </w:r>
      <w:r w:rsidR="00CA5640" w:rsidRPr="0088338F">
        <w:rPr>
          <w:rFonts w:ascii="Arial" w:hAnsi="Arial" w:cs="Arial"/>
          <w:bCs/>
          <w:iCs/>
          <w:sz w:val="20"/>
        </w:rPr>
        <w:t>1</w:t>
      </w:r>
      <w:r w:rsidR="00067E19" w:rsidRPr="0088338F">
        <w:rPr>
          <w:rFonts w:ascii="Arial" w:hAnsi="Arial" w:cs="Arial"/>
          <w:bCs/>
          <w:iCs/>
          <w:sz w:val="20"/>
        </w:rPr>
        <w:t xml:space="preserve"> tis. EUR (201</w:t>
      </w:r>
      <w:r w:rsidR="00A80B77" w:rsidRPr="0088338F">
        <w:rPr>
          <w:rFonts w:ascii="Arial" w:hAnsi="Arial" w:cs="Arial"/>
          <w:bCs/>
          <w:iCs/>
          <w:sz w:val="20"/>
        </w:rPr>
        <w:t>5</w:t>
      </w:r>
      <w:r w:rsidR="00067E19" w:rsidRPr="0088338F">
        <w:rPr>
          <w:rFonts w:ascii="Arial" w:hAnsi="Arial" w:cs="Arial"/>
          <w:bCs/>
          <w:iCs/>
          <w:sz w:val="20"/>
        </w:rPr>
        <w:t xml:space="preserve">: </w:t>
      </w:r>
      <w:r w:rsidR="00A80B77" w:rsidRPr="0088338F">
        <w:rPr>
          <w:rFonts w:ascii="Arial" w:hAnsi="Arial" w:cs="Arial"/>
          <w:bCs/>
          <w:iCs/>
          <w:sz w:val="20"/>
        </w:rPr>
        <w:t>zisk</w:t>
      </w:r>
      <w:r w:rsidR="00067E19" w:rsidRPr="0088338F">
        <w:rPr>
          <w:rFonts w:ascii="Arial" w:hAnsi="Arial" w:cs="Arial"/>
          <w:bCs/>
          <w:iCs/>
          <w:sz w:val="20"/>
        </w:rPr>
        <w:t xml:space="preserve"> </w:t>
      </w:r>
      <w:r w:rsidR="00A80B77" w:rsidRPr="0088338F">
        <w:rPr>
          <w:rFonts w:ascii="Arial" w:hAnsi="Arial" w:cs="Arial"/>
          <w:bCs/>
          <w:iCs/>
          <w:sz w:val="20"/>
        </w:rPr>
        <w:t>3</w:t>
      </w:r>
      <w:r w:rsidR="00067E19" w:rsidRPr="0088338F">
        <w:rPr>
          <w:rFonts w:ascii="Arial" w:hAnsi="Arial" w:cs="Arial"/>
          <w:bCs/>
          <w:iCs/>
          <w:sz w:val="20"/>
        </w:rPr>
        <w:t xml:space="preserve"> tis. EUR).</w:t>
      </w:r>
    </w:p>
    <w:p w14:paraId="7BC2D8C9" w14:textId="77777777" w:rsidR="00BB57A0" w:rsidRPr="0088338F" w:rsidRDefault="00BB57A0" w:rsidP="00BB57A0">
      <w:pPr>
        <w:jc w:val="both"/>
        <w:rPr>
          <w:rFonts w:ascii="Arial" w:hAnsi="Arial" w:cs="Arial"/>
          <w:sz w:val="16"/>
          <w:szCs w:val="16"/>
        </w:rPr>
      </w:pPr>
    </w:p>
    <w:p w14:paraId="7D038ED4" w14:textId="77777777" w:rsidR="00BB57A0" w:rsidRPr="0088338F" w:rsidRDefault="00BB57A0" w:rsidP="00BB57A0">
      <w:pPr>
        <w:jc w:val="both"/>
        <w:rPr>
          <w:rFonts w:ascii="Arial" w:hAnsi="Arial" w:cs="Arial"/>
          <w:b/>
          <w:bCs/>
          <w:sz w:val="20"/>
        </w:rPr>
      </w:pPr>
      <w:r w:rsidRPr="0088338F">
        <w:rPr>
          <w:rFonts w:ascii="Arial" w:hAnsi="Arial" w:cs="Arial"/>
          <w:b/>
          <w:bCs/>
          <w:sz w:val="20"/>
        </w:rPr>
        <w:t>Geografická sieť</w:t>
      </w:r>
    </w:p>
    <w:p w14:paraId="0C8B45F1" w14:textId="5379D938" w:rsidR="00BB57A0" w:rsidRPr="0088338F" w:rsidRDefault="00BB57A0" w:rsidP="00BB57A0">
      <w:pPr>
        <w:jc w:val="both"/>
        <w:rPr>
          <w:rFonts w:ascii="Arial" w:hAnsi="Arial" w:cs="Arial"/>
          <w:sz w:val="20"/>
        </w:rPr>
      </w:pPr>
      <w:r w:rsidRPr="0088338F">
        <w:rPr>
          <w:rFonts w:ascii="Arial" w:hAnsi="Arial" w:cs="Arial"/>
          <w:sz w:val="20"/>
        </w:rPr>
        <w:t>K 31. decembru 201</w:t>
      </w:r>
      <w:r w:rsidR="00A80B77" w:rsidRPr="0088338F">
        <w:rPr>
          <w:rFonts w:ascii="Arial" w:hAnsi="Arial" w:cs="Arial"/>
          <w:sz w:val="20"/>
        </w:rPr>
        <w:t>6</w:t>
      </w:r>
      <w:r w:rsidRPr="0088338F">
        <w:rPr>
          <w:rFonts w:ascii="Arial" w:hAnsi="Arial" w:cs="Arial"/>
          <w:sz w:val="20"/>
        </w:rPr>
        <w:t xml:space="preserve"> banka vykonávala svoju činnosť na území Slovenskej republiky prostredníctvom Centra bankových služieb v Bratislave, siete 3 regionálnych investičných pobočiek v Banskej Bystrici, Bratislave a v Košiciach a </w:t>
      </w:r>
      <w:r w:rsidR="00442762" w:rsidRPr="0088338F">
        <w:rPr>
          <w:rFonts w:ascii="Arial" w:hAnsi="Arial" w:cs="Arial"/>
          <w:sz w:val="20"/>
        </w:rPr>
        <w:t>9</w:t>
      </w:r>
      <w:r w:rsidRPr="0088338F">
        <w:rPr>
          <w:rFonts w:ascii="Arial" w:hAnsi="Arial" w:cs="Arial"/>
          <w:sz w:val="20"/>
        </w:rPr>
        <w:t xml:space="preserve"> regionálnych investičných centier pre bezhotovostné operácie v</w:t>
      </w:r>
      <w:r w:rsidR="00442762" w:rsidRPr="0088338F">
        <w:rPr>
          <w:rFonts w:ascii="Arial" w:hAnsi="Arial" w:cs="Arial"/>
          <w:sz w:val="20"/>
        </w:rPr>
        <w:t xml:space="preserve"> Bratislave, </w:t>
      </w:r>
      <w:r w:rsidRPr="0088338F">
        <w:rPr>
          <w:rFonts w:ascii="Arial" w:hAnsi="Arial" w:cs="Arial"/>
          <w:sz w:val="20"/>
        </w:rPr>
        <w:t>Brezne, Nitre, Dunajskej Strede, Žiline, Trenčíne, Prešove, Trnave a Prievidzi. Banka poskytovala k 31. decembru 201</w:t>
      </w:r>
      <w:r w:rsidR="00A80B77" w:rsidRPr="0088338F">
        <w:rPr>
          <w:rFonts w:ascii="Arial" w:hAnsi="Arial" w:cs="Arial"/>
          <w:sz w:val="20"/>
        </w:rPr>
        <w:t>6</w:t>
      </w:r>
      <w:r w:rsidRPr="0088338F">
        <w:rPr>
          <w:rFonts w:ascii="Arial" w:hAnsi="Arial" w:cs="Arial"/>
          <w:sz w:val="20"/>
        </w:rPr>
        <w:t xml:space="preserve"> bankové činnosti aj na území Českej republiky na základe práva slobodného poskytovania cezhraničných bankových služieb bez zriadenia pobočky v súlade so Smernicou č. 2006/48/ES Európskeho parlamentu a rady zo 14. júna 2006 o začatí a vykonávaní činností úverových inštitúcií.</w:t>
      </w:r>
    </w:p>
    <w:p w14:paraId="5606E9D1" w14:textId="77777777" w:rsidR="00BB57A0" w:rsidRPr="0088338F" w:rsidRDefault="00BB57A0" w:rsidP="00BB57A0">
      <w:pPr>
        <w:jc w:val="both"/>
        <w:rPr>
          <w:rFonts w:ascii="Arial" w:hAnsi="Arial" w:cs="Arial"/>
          <w:sz w:val="16"/>
          <w:szCs w:val="16"/>
        </w:rPr>
      </w:pPr>
    </w:p>
    <w:p w14:paraId="6244EAC3" w14:textId="77777777" w:rsidR="00BB57A0" w:rsidRPr="0088338F" w:rsidRDefault="00BB57A0" w:rsidP="00BB57A0">
      <w:pPr>
        <w:jc w:val="both"/>
        <w:rPr>
          <w:rFonts w:ascii="Arial" w:hAnsi="Arial" w:cs="Arial"/>
          <w:b/>
          <w:bCs/>
          <w:sz w:val="20"/>
        </w:rPr>
      </w:pPr>
      <w:r w:rsidRPr="0088338F">
        <w:rPr>
          <w:rFonts w:ascii="Arial" w:hAnsi="Arial" w:cs="Arial"/>
          <w:b/>
          <w:bCs/>
          <w:sz w:val="20"/>
        </w:rPr>
        <w:t>Zoznam členov predstavenstva</w:t>
      </w:r>
    </w:p>
    <w:p w14:paraId="08EF3401" w14:textId="037A7A3D" w:rsidR="00BB57A0" w:rsidRPr="0088338F" w:rsidRDefault="00BB57A0" w:rsidP="00BB57A0">
      <w:pPr>
        <w:jc w:val="both"/>
        <w:rPr>
          <w:rFonts w:ascii="Arial" w:hAnsi="Arial" w:cs="Arial"/>
          <w:sz w:val="20"/>
        </w:rPr>
      </w:pPr>
      <w:r w:rsidRPr="0088338F">
        <w:rPr>
          <w:rFonts w:ascii="Arial" w:hAnsi="Arial" w:cs="Arial"/>
          <w:sz w:val="20"/>
        </w:rPr>
        <w:t>Členovia predstavenstva banky sú k 31. decembru 201</w:t>
      </w:r>
      <w:r w:rsidR="00A80B77" w:rsidRPr="0088338F">
        <w:rPr>
          <w:rFonts w:ascii="Arial" w:hAnsi="Arial" w:cs="Arial"/>
          <w:sz w:val="20"/>
        </w:rPr>
        <w:t>6</w:t>
      </w:r>
      <w:r w:rsidRPr="0088338F">
        <w:rPr>
          <w:rFonts w:ascii="Arial" w:hAnsi="Arial" w:cs="Arial"/>
          <w:sz w:val="20"/>
        </w:rPr>
        <w:t xml:space="preserve"> nasledovní:</w:t>
      </w:r>
    </w:p>
    <w:p w14:paraId="5BAAB2D3" w14:textId="77777777" w:rsidR="00BB57A0" w:rsidRPr="0088338F" w:rsidRDefault="00BB57A0" w:rsidP="00BB57A0">
      <w:pPr>
        <w:jc w:val="both"/>
        <w:rPr>
          <w:rFonts w:ascii="Arial" w:hAnsi="Arial" w:cs="Arial"/>
          <w:sz w:val="20"/>
        </w:rPr>
      </w:pPr>
    </w:p>
    <w:p w14:paraId="3E9B25CA" w14:textId="77777777" w:rsidR="00BB57A0" w:rsidRPr="0088338F" w:rsidRDefault="00BB57A0" w:rsidP="00BB57A0">
      <w:pPr>
        <w:numPr>
          <w:ilvl w:val="0"/>
          <w:numId w:val="1"/>
        </w:numPr>
        <w:tabs>
          <w:tab w:val="left" w:pos="4253"/>
          <w:tab w:val="right" w:pos="9072"/>
        </w:tabs>
        <w:overflowPunct w:val="0"/>
        <w:autoSpaceDE w:val="0"/>
        <w:autoSpaceDN w:val="0"/>
        <w:adjustRightInd w:val="0"/>
        <w:ind w:left="567" w:firstLine="0"/>
        <w:jc w:val="both"/>
        <w:textAlignment w:val="baseline"/>
        <w:rPr>
          <w:rFonts w:ascii="Arial" w:hAnsi="Arial" w:cs="Arial"/>
          <w:sz w:val="20"/>
        </w:rPr>
      </w:pPr>
      <w:r w:rsidRPr="0088338F">
        <w:rPr>
          <w:rFonts w:ascii="Arial" w:hAnsi="Arial" w:cs="Arial"/>
          <w:sz w:val="20"/>
        </w:rPr>
        <w:t>Mgr. Ing. Ľuboš Ševčík, CSc.</w:t>
      </w:r>
      <w:r w:rsidRPr="0088338F">
        <w:rPr>
          <w:rFonts w:ascii="Arial" w:hAnsi="Arial" w:cs="Arial"/>
          <w:sz w:val="20"/>
        </w:rPr>
        <w:tab/>
        <w:t>- predseda</w:t>
      </w:r>
      <w:r w:rsidRPr="0088338F">
        <w:rPr>
          <w:rFonts w:ascii="Arial" w:hAnsi="Arial" w:cs="Arial"/>
          <w:sz w:val="20"/>
        </w:rPr>
        <w:tab/>
        <w:t>- menovaný 4.9.2007</w:t>
      </w:r>
    </w:p>
    <w:p w14:paraId="610587C1" w14:textId="77777777" w:rsidR="00BB57A0" w:rsidRPr="0088338F" w:rsidRDefault="00BB57A0" w:rsidP="00BB57A0">
      <w:pPr>
        <w:numPr>
          <w:ilvl w:val="0"/>
          <w:numId w:val="1"/>
        </w:numPr>
        <w:tabs>
          <w:tab w:val="left" w:pos="4253"/>
          <w:tab w:val="right" w:pos="9072"/>
        </w:tabs>
        <w:overflowPunct w:val="0"/>
        <w:autoSpaceDE w:val="0"/>
        <w:autoSpaceDN w:val="0"/>
        <w:adjustRightInd w:val="0"/>
        <w:ind w:left="567" w:firstLine="0"/>
        <w:jc w:val="both"/>
        <w:textAlignment w:val="baseline"/>
        <w:rPr>
          <w:rFonts w:ascii="Arial" w:hAnsi="Arial" w:cs="Arial"/>
          <w:sz w:val="20"/>
        </w:rPr>
      </w:pPr>
      <w:r w:rsidRPr="0088338F">
        <w:rPr>
          <w:rFonts w:ascii="Arial" w:hAnsi="Arial" w:cs="Arial"/>
          <w:sz w:val="20"/>
        </w:rPr>
        <w:t>RNDr. Miron Zelina, CSc.</w:t>
      </w:r>
      <w:r w:rsidRPr="0088338F">
        <w:rPr>
          <w:rFonts w:ascii="Arial" w:hAnsi="Arial" w:cs="Arial"/>
          <w:sz w:val="20"/>
        </w:rPr>
        <w:tab/>
        <w:t>- člen</w:t>
      </w:r>
      <w:r w:rsidRPr="0088338F">
        <w:rPr>
          <w:rFonts w:ascii="Arial" w:hAnsi="Arial" w:cs="Arial"/>
          <w:sz w:val="20"/>
        </w:rPr>
        <w:tab/>
        <w:t>- menovaný 1.9.2012</w:t>
      </w:r>
    </w:p>
    <w:p w14:paraId="2C35DAFF" w14:textId="77777777" w:rsidR="00BB57A0" w:rsidRPr="0088338F" w:rsidRDefault="00BB57A0" w:rsidP="00BB57A0">
      <w:pPr>
        <w:numPr>
          <w:ilvl w:val="0"/>
          <w:numId w:val="1"/>
        </w:numPr>
        <w:tabs>
          <w:tab w:val="left" w:pos="4253"/>
          <w:tab w:val="right" w:pos="9072"/>
        </w:tabs>
        <w:overflowPunct w:val="0"/>
        <w:autoSpaceDE w:val="0"/>
        <w:autoSpaceDN w:val="0"/>
        <w:adjustRightInd w:val="0"/>
        <w:ind w:left="567" w:firstLine="0"/>
        <w:jc w:val="both"/>
        <w:textAlignment w:val="baseline"/>
        <w:rPr>
          <w:rFonts w:ascii="Arial" w:hAnsi="Arial" w:cs="Arial"/>
          <w:sz w:val="20"/>
        </w:rPr>
      </w:pPr>
      <w:r w:rsidRPr="0088338F">
        <w:rPr>
          <w:rFonts w:ascii="Arial" w:hAnsi="Arial" w:cs="Arial"/>
          <w:sz w:val="20"/>
        </w:rPr>
        <w:t>Ing. Vladimír Hrdina</w:t>
      </w:r>
      <w:r w:rsidRPr="0088338F">
        <w:rPr>
          <w:rFonts w:ascii="Arial" w:hAnsi="Arial" w:cs="Arial"/>
          <w:sz w:val="20"/>
        </w:rPr>
        <w:tab/>
        <w:t>- člen</w:t>
      </w:r>
      <w:r w:rsidRPr="0088338F">
        <w:rPr>
          <w:rFonts w:ascii="Arial" w:hAnsi="Arial" w:cs="Arial"/>
          <w:sz w:val="20"/>
        </w:rPr>
        <w:tab/>
        <w:t>- menovaný 6.8.2003</w:t>
      </w:r>
    </w:p>
    <w:p w14:paraId="291F20FC" w14:textId="77777777" w:rsidR="00BB57A0" w:rsidRPr="0088338F" w:rsidRDefault="00BB57A0" w:rsidP="00BB57A0">
      <w:pPr>
        <w:jc w:val="both"/>
        <w:rPr>
          <w:rFonts w:ascii="Arial" w:hAnsi="Arial" w:cs="Arial"/>
          <w:sz w:val="16"/>
          <w:szCs w:val="16"/>
        </w:rPr>
      </w:pPr>
    </w:p>
    <w:p w14:paraId="1F65F566" w14:textId="77777777" w:rsidR="004639C3" w:rsidRPr="0088338F" w:rsidRDefault="004639C3" w:rsidP="004639C3">
      <w:pPr>
        <w:jc w:val="both"/>
        <w:rPr>
          <w:rFonts w:ascii="Arial" w:hAnsi="Arial" w:cs="Arial"/>
          <w:b/>
          <w:bCs/>
          <w:sz w:val="20"/>
        </w:rPr>
      </w:pPr>
      <w:r w:rsidRPr="0088338F">
        <w:rPr>
          <w:rFonts w:ascii="Arial" w:hAnsi="Arial" w:cs="Arial"/>
          <w:b/>
          <w:bCs/>
          <w:sz w:val="20"/>
        </w:rPr>
        <w:t>Dozorná rada</w:t>
      </w:r>
    </w:p>
    <w:p w14:paraId="258401E1" w14:textId="77777777" w:rsidR="004639C3" w:rsidRPr="0088338F" w:rsidRDefault="004639C3" w:rsidP="004639C3">
      <w:pPr>
        <w:jc w:val="both"/>
        <w:rPr>
          <w:rFonts w:ascii="Arial" w:hAnsi="Arial" w:cs="Arial"/>
          <w:sz w:val="20"/>
        </w:rPr>
      </w:pPr>
      <w:r w:rsidRPr="0088338F">
        <w:rPr>
          <w:rFonts w:ascii="Arial" w:hAnsi="Arial" w:cs="Arial"/>
          <w:sz w:val="20"/>
        </w:rPr>
        <w:t>Členovia dozornej rady banky sú od 29. apríla 2016 nasledovní:</w:t>
      </w:r>
    </w:p>
    <w:p w14:paraId="5448D494" w14:textId="77777777" w:rsidR="004639C3" w:rsidRPr="0088338F" w:rsidRDefault="004639C3" w:rsidP="004639C3">
      <w:pPr>
        <w:jc w:val="both"/>
        <w:rPr>
          <w:rFonts w:ascii="Arial" w:hAnsi="Arial" w:cs="Arial"/>
          <w:sz w:val="20"/>
        </w:rPr>
      </w:pPr>
    </w:p>
    <w:p w14:paraId="09100251" w14:textId="77777777" w:rsidR="004639C3" w:rsidRPr="0088338F" w:rsidRDefault="004639C3" w:rsidP="004639C3">
      <w:pPr>
        <w:ind w:left="567"/>
        <w:jc w:val="both"/>
        <w:rPr>
          <w:rFonts w:ascii="Arial" w:hAnsi="Arial" w:cs="Arial"/>
          <w:sz w:val="20"/>
        </w:rPr>
      </w:pPr>
      <w:r w:rsidRPr="0088338F">
        <w:rPr>
          <w:rFonts w:ascii="Arial" w:hAnsi="Arial" w:cs="Arial"/>
          <w:sz w:val="20"/>
        </w:rPr>
        <w:t>volení valným zhromaždením:</w:t>
      </w:r>
    </w:p>
    <w:p w14:paraId="46359B04" w14:textId="77777777" w:rsidR="004639C3" w:rsidRPr="0088338F" w:rsidRDefault="004639C3" w:rsidP="004639C3">
      <w:pPr>
        <w:numPr>
          <w:ilvl w:val="0"/>
          <w:numId w:val="31"/>
        </w:numPr>
        <w:tabs>
          <w:tab w:val="left" w:pos="4253"/>
          <w:tab w:val="right" w:pos="9072"/>
        </w:tabs>
        <w:overflowPunct w:val="0"/>
        <w:autoSpaceDE w:val="0"/>
        <w:autoSpaceDN w:val="0"/>
        <w:adjustRightInd w:val="0"/>
        <w:ind w:left="567" w:firstLine="0"/>
        <w:jc w:val="both"/>
        <w:textAlignment w:val="baseline"/>
        <w:rPr>
          <w:rFonts w:ascii="Arial" w:hAnsi="Arial" w:cs="Arial"/>
          <w:sz w:val="20"/>
        </w:rPr>
      </w:pPr>
      <w:r w:rsidRPr="0088338F">
        <w:rPr>
          <w:rFonts w:ascii="Arial" w:hAnsi="Arial" w:cs="Arial"/>
          <w:sz w:val="20"/>
        </w:rPr>
        <w:t>Mgr. Jozef Oravkin</w:t>
      </w:r>
      <w:r w:rsidRPr="0088338F">
        <w:rPr>
          <w:rFonts w:ascii="Arial" w:hAnsi="Arial" w:cs="Arial"/>
          <w:sz w:val="20"/>
        </w:rPr>
        <w:tab/>
        <w:t>- predseda</w:t>
      </w:r>
      <w:r w:rsidRPr="0088338F">
        <w:rPr>
          <w:rFonts w:ascii="Arial" w:hAnsi="Arial" w:cs="Arial"/>
          <w:sz w:val="20"/>
        </w:rPr>
        <w:tab/>
        <w:t>- menovaný 29.4.2016</w:t>
      </w:r>
    </w:p>
    <w:p w14:paraId="1188CE22" w14:textId="77777777" w:rsidR="004639C3" w:rsidRPr="0088338F" w:rsidRDefault="004639C3" w:rsidP="004639C3">
      <w:pPr>
        <w:numPr>
          <w:ilvl w:val="0"/>
          <w:numId w:val="31"/>
        </w:numPr>
        <w:tabs>
          <w:tab w:val="left" w:pos="4253"/>
          <w:tab w:val="right" w:pos="9072"/>
        </w:tabs>
        <w:overflowPunct w:val="0"/>
        <w:autoSpaceDE w:val="0"/>
        <w:autoSpaceDN w:val="0"/>
        <w:adjustRightInd w:val="0"/>
        <w:ind w:left="567" w:firstLine="0"/>
        <w:jc w:val="both"/>
        <w:textAlignment w:val="baseline"/>
        <w:rPr>
          <w:rFonts w:ascii="Arial" w:hAnsi="Arial" w:cs="Arial"/>
          <w:sz w:val="20"/>
        </w:rPr>
      </w:pPr>
      <w:r w:rsidRPr="0088338F">
        <w:rPr>
          <w:rFonts w:ascii="Arial" w:hAnsi="Arial" w:cs="Arial"/>
          <w:sz w:val="20"/>
        </w:rPr>
        <w:t>Ing. Marek Hvožďara</w:t>
      </w:r>
      <w:r w:rsidRPr="0088338F">
        <w:rPr>
          <w:rFonts w:ascii="Arial" w:hAnsi="Arial" w:cs="Arial"/>
          <w:sz w:val="20"/>
        </w:rPr>
        <w:tab/>
        <w:t>- podpredseda</w:t>
      </w:r>
      <w:r w:rsidRPr="0088338F">
        <w:rPr>
          <w:rFonts w:ascii="Arial" w:hAnsi="Arial" w:cs="Arial"/>
          <w:sz w:val="20"/>
        </w:rPr>
        <w:tab/>
        <w:t>- menovaný 27.9.2012</w:t>
      </w:r>
    </w:p>
    <w:p w14:paraId="4858B47C" w14:textId="77777777" w:rsidR="004639C3" w:rsidRPr="0088338F" w:rsidRDefault="004639C3" w:rsidP="004639C3">
      <w:pPr>
        <w:tabs>
          <w:tab w:val="left" w:pos="4253"/>
          <w:tab w:val="right" w:pos="9072"/>
        </w:tabs>
        <w:overflowPunct w:val="0"/>
        <w:autoSpaceDE w:val="0"/>
        <w:autoSpaceDN w:val="0"/>
        <w:adjustRightInd w:val="0"/>
        <w:jc w:val="both"/>
        <w:textAlignment w:val="baseline"/>
        <w:rPr>
          <w:rFonts w:ascii="Arial" w:hAnsi="Arial" w:cs="Arial"/>
          <w:sz w:val="16"/>
          <w:szCs w:val="16"/>
        </w:rPr>
      </w:pPr>
    </w:p>
    <w:p w14:paraId="0E10D37D" w14:textId="77777777" w:rsidR="004639C3" w:rsidRPr="0088338F" w:rsidRDefault="004639C3" w:rsidP="004639C3">
      <w:pPr>
        <w:ind w:left="567"/>
        <w:jc w:val="both"/>
        <w:rPr>
          <w:rFonts w:ascii="Arial" w:hAnsi="Arial" w:cs="Arial"/>
          <w:sz w:val="20"/>
        </w:rPr>
      </w:pPr>
      <w:r w:rsidRPr="0088338F">
        <w:rPr>
          <w:rFonts w:ascii="Arial" w:hAnsi="Arial" w:cs="Arial"/>
          <w:sz w:val="20"/>
        </w:rPr>
        <w:t>volení zamestnancami:</w:t>
      </w:r>
    </w:p>
    <w:p w14:paraId="368E1F1A" w14:textId="77777777" w:rsidR="004639C3" w:rsidRPr="0088338F" w:rsidRDefault="004639C3" w:rsidP="004639C3">
      <w:pPr>
        <w:numPr>
          <w:ilvl w:val="0"/>
          <w:numId w:val="31"/>
        </w:numPr>
        <w:tabs>
          <w:tab w:val="left" w:pos="4253"/>
          <w:tab w:val="right" w:pos="9072"/>
        </w:tabs>
        <w:overflowPunct w:val="0"/>
        <w:autoSpaceDE w:val="0"/>
        <w:autoSpaceDN w:val="0"/>
        <w:adjustRightInd w:val="0"/>
        <w:ind w:left="567" w:firstLine="0"/>
        <w:jc w:val="both"/>
        <w:textAlignment w:val="baseline"/>
        <w:rPr>
          <w:rFonts w:ascii="Arial" w:hAnsi="Arial" w:cs="Arial"/>
          <w:sz w:val="20"/>
        </w:rPr>
      </w:pPr>
      <w:r w:rsidRPr="0088338F">
        <w:rPr>
          <w:rFonts w:ascii="Arial" w:hAnsi="Arial" w:cs="Arial"/>
          <w:sz w:val="20"/>
        </w:rPr>
        <w:t>Ing. Mgr. Milan Čerešňa</w:t>
      </w:r>
      <w:r w:rsidRPr="0088338F">
        <w:rPr>
          <w:rFonts w:ascii="Arial" w:hAnsi="Arial" w:cs="Arial"/>
          <w:sz w:val="20"/>
        </w:rPr>
        <w:tab/>
        <w:t>- člen</w:t>
      </w:r>
      <w:r w:rsidRPr="0088338F">
        <w:rPr>
          <w:rFonts w:ascii="Arial" w:hAnsi="Arial" w:cs="Arial"/>
          <w:sz w:val="20"/>
        </w:rPr>
        <w:tab/>
        <w:t>- menovaný 24.8.2012</w:t>
      </w:r>
    </w:p>
    <w:p w14:paraId="054C073C" w14:textId="77777777" w:rsidR="004639C3" w:rsidRPr="0088338F" w:rsidRDefault="004639C3" w:rsidP="004639C3">
      <w:pPr>
        <w:jc w:val="both"/>
        <w:rPr>
          <w:rFonts w:ascii="Arial" w:hAnsi="Arial" w:cs="Arial"/>
          <w:sz w:val="20"/>
          <w:szCs w:val="20"/>
        </w:rPr>
      </w:pPr>
    </w:p>
    <w:p w14:paraId="50BE33A8" w14:textId="77777777" w:rsidR="004639C3" w:rsidRPr="0088338F" w:rsidRDefault="004639C3" w:rsidP="004639C3">
      <w:pPr>
        <w:jc w:val="both"/>
        <w:rPr>
          <w:rFonts w:ascii="Arial" w:hAnsi="Arial" w:cs="Arial"/>
          <w:sz w:val="20"/>
          <w:szCs w:val="20"/>
        </w:rPr>
      </w:pPr>
      <w:r w:rsidRPr="0088338F">
        <w:rPr>
          <w:rFonts w:ascii="Arial" w:hAnsi="Arial" w:cs="Arial"/>
          <w:sz w:val="20"/>
          <w:szCs w:val="20"/>
        </w:rPr>
        <w:br w:type="page"/>
      </w:r>
    </w:p>
    <w:p w14:paraId="2BD089FA" w14:textId="59040B10" w:rsidR="004639C3" w:rsidRPr="0088338F" w:rsidRDefault="004639C3" w:rsidP="004639C3">
      <w:pPr>
        <w:jc w:val="both"/>
        <w:rPr>
          <w:rFonts w:ascii="Arial" w:hAnsi="Arial" w:cs="Arial"/>
          <w:sz w:val="20"/>
        </w:rPr>
      </w:pPr>
      <w:r w:rsidRPr="0088338F">
        <w:rPr>
          <w:rFonts w:ascii="Arial" w:hAnsi="Arial" w:cs="Arial"/>
          <w:sz w:val="20"/>
        </w:rPr>
        <w:lastRenderedPageBreak/>
        <w:t>Členovia dozornej rady banky boli do 29. apríla 2016 nasledovní:</w:t>
      </w:r>
    </w:p>
    <w:p w14:paraId="7A49FC68" w14:textId="77777777" w:rsidR="004639C3" w:rsidRPr="0088338F" w:rsidRDefault="004639C3" w:rsidP="004639C3">
      <w:pPr>
        <w:jc w:val="both"/>
        <w:rPr>
          <w:rFonts w:ascii="Arial" w:hAnsi="Arial" w:cs="Arial"/>
          <w:sz w:val="20"/>
        </w:rPr>
      </w:pPr>
    </w:p>
    <w:p w14:paraId="036511A7" w14:textId="77777777" w:rsidR="004639C3" w:rsidRPr="0088338F" w:rsidRDefault="004639C3" w:rsidP="004639C3">
      <w:pPr>
        <w:ind w:left="567"/>
        <w:jc w:val="both"/>
        <w:rPr>
          <w:rFonts w:ascii="Arial" w:hAnsi="Arial" w:cs="Arial"/>
          <w:sz w:val="20"/>
        </w:rPr>
      </w:pPr>
      <w:r w:rsidRPr="0088338F">
        <w:rPr>
          <w:rFonts w:ascii="Arial" w:hAnsi="Arial" w:cs="Arial"/>
          <w:sz w:val="20"/>
        </w:rPr>
        <w:t>volení valným zhromaždením:</w:t>
      </w:r>
    </w:p>
    <w:p w14:paraId="5762EE7C" w14:textId="77777777" w:rsidR="004639C3" w:rsidRPr="0088338F" w:rsidRDefault="004639C3" w:rsidP="004639C3">
      <w:pPr>
        <w:numPr>
          <w:ilvl w:val="0"/>
          <w:numId w:val="42"/>
        </w:numPr>
        <w:tabs>
          <w:tab w:val="left" w:pos="4253"/>
          <w:tab w:val="right" w:pos="9072"/>
        </w:tabs>
        <w:overflowPunct w:val="0"/>
        <w:autoSpaceDE w:val="0"/>
        <w:autoSpaceDN w:val="0"/>
        <w:adjustRightInd w:val="0"/>
        <w:ind w:left="567" w:firstLine="0"/>
        <w:jc w:val="both"/>
        <w:textAlignment w:val="baseline"/>
        <w:rPr>
          <w:rFonts w:ascii="Arial" w:hAnsi="Arial" w:cs="Arial"/>
          <w:sz w:val="20"/>
        </w:rPr>
      </w:pPr>
      <w:r w:rsidRPr="0088338F">
        <w:rPr>
          <w:rFonts w:ascii="Arial" w:hAnsi="Arial" w:cs="Arial"/>
          <w:sz w:val="20"/>
        </w:rPr>
        <w:t>Ing. Jozef Špirko</w:t>
      </w:r>
      <w:r w:rsidRPr="0088338F">
        <w:rPr>
          <w:rFonts w:ascii="Arial" w:hAnsi="Arial" w:cs="Arial"/>
          <w:sz w:val="20"/>
        </w:rPr>
        <w:tab/>
        <w:t>- predseda</w:t>
      </w:r>
      <w:r w:rsidRPr="0088338F">
        <w:rPr>
          <w:rFonts w:ascii="Arial" w:hAnsi="Arial" w:cs="Arial"/>
          <w:sz w:val="20"/>
        </w:rPr>
        <w:tab/>
        <w:t>- menovaný 29.4.2011</w:t>
      </w:r>
    </w:p>
    <w:p w14:paraId="0963FB71" w14:textId="77777777" w:rsidR="004639C3" w:rsidRPr="0088338F" w:rsidRDefault="004639C3" w:rsidP="004639C3">
      <w:pPr>
        <w:numPr>
          <w:ilvl w:val="0"/>
          <w:numId w:val="42"/>
        </w:numPr>
        <w:tabs>
          <w:tab w:val="left" w:pos="4253"/>
          <w:tab w:val="right" w:pos="9072"/>
        </w:tabs>
        <w:overflowPunct w:val="0"/>
        <w:autoSpaceDE w:val="0"/>
        <w:autoSpaceDN w:val="0"/>
        <w:adjustRightInd w:val="0"/>
        <w:ind w:left="567" w:firstLine="0"/>
        <w:jc w:val="both"/>
        <w:textAlignment w:val="baseline"/>
        <w:rPr>
          <w:rFonts w:ascii="Arial" w:hAnsi="Arial" w:cs="Arial"/>
          <w:sz w:val="20"/>
        </w:rPr>
      </w:pPr>
      <w:r w:rsidRPr="0088338F">
        <w:rPr>
          <w:rFonts w:ascii="Arial" w:hAnsi="Arial" w:cs="Arial"/>
          <w:sz w:val="20"/>
        </w:rPr>
        <w:t>Ing. Marek Hvožďara</w:t>
      </w:r>
      <w:r w:rsidRPr="0088338F">
        <w:rPr>
          <w:rFonts w:ascii="Arial" w:hAnsi="Arial" w:cs="Arial"/>
          <w:sz w:val="20"/>
        </w:rPr>
        <w:tab/>
        <w:t>- podpredseda</w:t>
      </w:r>
      <w:r w:rsidRPr="0088338F">
        <w:rPr>
          <w:rFonts w:ascii="Arial" w:hAnsi="Arial" w:cs="Arial"/>
          <w:sz w:val="20"/>
        </w:rPr>
        <w:tab/>
        <w:t>- menovaný 27.9.2012</w:t>
      </w:r>
    </w:p>
    <w:p w14:paraId="5BB1E335" w14:textId="77777777" w:rsidR="004639C3" w:rsidRPr="0088338F" w:rsidRDefault="004639C3" w:rsidP="004639C3">
      <w:pPr>
        <w:tabs>
          <w:tab w:val="left" w:pos="4253"/>
          <w:tab w:val="right" w:pos="9072"/>
        </w:tabs>
        <w:overflowPunct w:val="0"/>
        <w:autoSpaceDE w:val="0"/>
        <w:autoSpaceDN w:val="0"/>
        <w:adjustRightInd w:val="0"/>
        <w:jc w:val="both"/>
        <w:textAlignment w:val="baseline"/>
        <w:rPr>
          <w:rFonts w:ascii="Arial" w:hAnsi="Arial" w:cs="Arial"/>
          <w:sz w:val="16"/>
          <w:szCs w:val="16"/>
        </w:rPr>
      </w:pPr>
    </w:p>
    <w:p w14:paraId="52665B31" w14:textId="77777777" w:rsidR="004639C3" w:rsidRPr="0088338F" w:rsidRDefault="004639C3" w:rsidP="004639C3">
      <w:pPr>
        <w:ind w:left="567"/>
        <w:jc w:val="both"/>
        <w:rPr>
          <w:rFonts w:ascii="Arial" w:hAnsi="Arial" w:cs="Arial"/>
          <w:sz w:val="20"/>
        </w:rPr>
      </w:pPr>
      <w:r w:rsidRPr="0088338F">
        <w:rPr>
          <w:rFonts w:ascii="Arial" w:hAnsi="Arial" w:cs="Arial"/>
          <w:sz w:val="20"/>
        </w:rPr>
        <w:t>volení zamestnancami:</w:t>
      </w:r>
    </w:p>
    <w:p w14:paraId="3BC55911" w14:textId="77777777" w:rsidR="004639C3" w:rsidRPr="0088338F" w:rsidRDefault="004639C3" w:rsidP="004639C3">
      <w:pPr>
        <w:numPr>
          <w:ilvl w:val="0"/>
          <w:numId w:val="42"/>
        </w:numPr>
        <w:tabs>
          <w:tab w:val="left" w:pos="4253"/>
          <w:tab w:val="right" w:pos="9072"/>
        </w:tabs>
        <w:overflowPunct w:val="0"/>
        <w:autoSpaceDE w:val="0"/>
        <w:autoSpaceDN w:val="0"/>
        <w:adjustRightInd w:val="0"/>
        <w:ind w:left="567" w:firstLine="0"/>
        <w:jc w:val="both"/>
        <w:textAlignment w:val="baseline"/>
        <w:rPr>
          <w:rFonts w:ascii="Arial" w:hAnsi="Arial" w:cs="Arial"/>
          <w:sz w:val="20"/>
        </w:rPr>
      </w:pPr>
      <w:r w:rsidRPr="0088338F">
        <w:rPr>
          <w:rFonts w:ascii="Arial" w:hAnsi="Arial" w:cs="Arial"/>
          <w:sz w:val="20"/>
        </w:rPr>
        <w:t>Ing. Mgr. Milan Čerešňa</w:t>
      </w:r>
      <w:r w:rsidRPr="0088338F">
        <w:rPr>
          <w:rFonts w:ascii="Arial" w:hAnsi="Arial" w:cs="Arial"/>
          <w:sz w:val="20"/>
        </w:rPr>
        <w:tab/>
        <w:t>- člen</w:t>
      </w:r>
      <w:r w:rsidRPr="0088338F">
        <w:rPr>
          <w:rFonts w:ascii="Arial" w:hAnsi="Arial" w:cs="Arial"/>
          <w:sz w:val="20"/>
        </w:rPr>
        <w:tab/>
        <w:t>- menovaný 24.8.2012</w:t>
      </w:r>
    </w:p>
    <w:p w14:paraId="109D5D07" w14:textId="77777777" w:rsidR="00814C8A" w:rsidRPr="0088338F" w:rsidRDefault="00814C8A" w:rsidP="00814C8A">
      <w:pPr>
        <w:tabs>
          <w:tab w:val="left" w:pos="4253"/>
          <w:tab w:val="right" w:pos="9072"/>
        </w:tabs>
        <w:overflowPunct w:val="0"/>
        <w:autoSpaceDE w:val="0"/>
        <w:autoSpaceDN w:val="0"/>
        <w:adjustRightInd w:val="0"/>
        <w:jc w:val="both"/>
        <w:textAlignment w:val="baseline"/>
        <w:rPr>
          <w:rFonts w:ascii="Arial" w:hAnsi="Arial" w:cs="Arial"/>
          <w:sz w:val="20"/>
        </w:rPr>
      </w:pPr>
    </w:p>
    <w:p w14:paraId="00068760" w14:textId="1CF6BB18" w:rsidR="00E8798E" w:rsidRPr="0088338F" w:rsidRDefault="00E8798E" w:rsidP="00814C8A">
      <w:pPr>
        <w:tabs>
          <w:tab w:val="left" w:pos="4253"/>
          <w:tab w:val="right" w:pos="9072"/>
        </w:tabs>
        <w:overflowPunct w:val="0"/>
        <w:autoSpaceDE w:val="0"/>
        <w:autoSpaceDN w:val="0"/>
        <w:adjustRightInd w:val="0"/>
        <w:jc w:val="both"/>
        <w:textAlignment w:val="baseline"/>
        <w:rPr>
          <w:rFonts w:ascii="Arial" w:hAnsi="Arial" w:cs="Arial"/>
          <w:caps/>
          <w:sz w:val="20"/>
          <w:szCs w:val="20"/>
        </w:rPr>
      </w:pPr>
    </w:p>
    <w:p w14:paraId="15841956" w14:textId="77777777" w:rsidR="00BB7E51" w:rsidRPr="0088338F" w:rsidRDefault="00BB7E51"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Účtovné postupy</w:t>
      </w:r>
    </w:p>
    <w:p w14:paraId="07CCB936" w14:textId="77777777" w:rsidR="00A17B0F" w:rsidRPr="0088338F" w:rsidRDefault="00A17B0F" w:rsidP="00A17B0F">
      <w:pPr>
        <w:rPr>
          <w:sz w:val="20"/>
          <w:szCs w:val="20"/>
        </w:rPr>
      </w:pPr>
    </w:p>
    <w:p w14:paraId="53E9F9E4" w14:textId="77777777" w:rsidR="00A4279B" w:rsidRPr="0088338F" w:rsidRDefault="00A4279B" w:rsidP="00A4279B">
      <w:pPr>
        <w:jc w:val="both"/>
        <w:rPr>
          <w:rFonts w:ascii="Arial" w:hAnsi="Arial" w:cs="Arial"/>
          <w:sz w:val="20"/>
          <w:szCs w:val="20"/>
        </w:rPr>
      </w:pPr>
      <w:r w:rsidRPr="0088338F">
        <w:rPr>
          <w:rFonts w:ascii="Arial" w:hAnsi="Arial" w:cs="Arial"/>
          <w:sz w:val="20"/>
          <w:szCs w:val="20"/>
        </w:rPr>
        <w:t>Hlavné účtovné zásady uplatnené pri zostavovaní tejto účtovnej závierky sú uvedené v ďalšom texte.</w:t>
      </w:r>
    </w:p>
    <w:p w14:paraId="52248D17" w14:textId="77777777" w:rsidR="00A4279B" w:rsidRPr="0088338F" w:rsidRDefault="00A4279B" w:rsidP="00A4279B">
      <w:pPr>
        <w:jc w:val="both"/>
      </w:pPr>
    </w:p>
    <w:p w14:paraId="5F459D3F" w14:textId="77777777" w:rsidR="00A4279B" w:rsidRPr="0088338F" w:rsidRDefault="00A4279B" w:rsidP="00A4279B">
      <w:pPr>
        <w:tabs>
          <w:tab w:val="left" w:pos="0"/>
          <w:tab w:val="right" w:pos="4820"/>
          <w:tab w:val="right" w:pos="6521"/>
          <w:tab w:val="right" w:pos="8222"/>
        </w:tabs>
        <w:jc w:val="both"/>
        <w:rPr>
          <w:rFonts w:ascii="Arial" w:hAnsi="Arial" w:cs="Arial"/>
          <w:b/>
          <w:sz w:val="20"/>
          <w:szCs w:val="20"/>
        </w:rPr>
      </w:pPr>
      <w:r w:rsidRPr="0088338F">
        <w:rPr>
          <w:rStyle w:val="StyleTimesNewRoman11pt"/>
          <w:rFonts w:ascii="Arial" w:hAnsi="Arial" w:cs="Arial"/>
          <w:b/>
          <w:szCs w:val="20"/>
        </w:rPr>
        <w:t xml:space="preserve">(2.1) </w:t>
      </w:r>
      <w:r w:rsidRPr="0088338F">
        <w:rPr>
          <w:rFonts w:ascii="Arial" w:hAnsi="Arial" w:cs="Arial"/>
          <w:b/>
          <w:sz w:val="20"/>
          <w:szCs w:val="20"/>
        </w:rPr>
        <w:t xml:space="preserve">Základ prezentácie </w:t>
      </w:r>
    </w:p>
    <w:p w14:paraId="0CAE5753" w14:textId="667B15DF" w:rsidR="0096295A" w:rsidRPr="0088338F" w:rsidRDefault="00812ECC" w:rsidP="0096295A">
      <w:pPr>
        <w:jc w:val="both"/>
        <w:rPr>
          <w:rFonts w:ascii="Arial" w:hAnsi="Arial" w:cs="Arial"/>
          <w:sz w:val="20"/>
          <w:szCs w:val="20"/>
        </w:rPr>
      </w:pPr>
      <w:r w:rsidRPr="0088338F">
        <w:rPr>
          <w:rFonts w:ascii="Arial" w:hAnsi="Arial" w:cs="Arial"/>
          <w:sz w:val="20"/>
          <w:szCs w:val="20"/>
        </w:rPr>
        <w:t xml:space="preserve">Riadna </w:t>
      </w:r>
      <w:r w:rsidR="00E84244" w:rsidRPr="0088338F">
        <w:rPr>
          <w:rFonts w:ascii="Arial" w:hAnsi="Arial" w:cs="Arial"/>
          <w:sz w:val="20"/>
          <w:szCs w:val="20"/>
        </w:rPr>
        <w:t xml:space="preserve">individuálna </w:t>
      </w:r>
      <w:r w:rsidRPr="0088338F">
        <w:rPr>
          <w:rFonts w:ascii="Arial" w:hAnsi="Arial" w:cs="Arial"/>
          <w:sz w:val="20"/>
          <w:szCs w:val="20"/>
        </w:rPr>
        <w:t>ú</w:t>
      </w:r>
      <w:r w:rsidR="0096295A" w:rsidRPr="0088338F">
        <w:rPr>
          <w:rFonts w:ascii="Arial" w:hAnsi="Arial" w:cs="Arial"/>
          <w:sz w:val="20"/>
          <w:szCs w:val="20"/>
        </w:rPr>
        <w:t xml:space="preserve">čtovná závierka banky („účtovná závierka“) za rok </w:t>
      </w:r>
      <w:r w:rsidR="00D61C76" w:rsidRPr="0088338F">
        <w:rPr>
          <w:rFonts w:ascii="Arial" w:hAnsi="Arial" w:cs="Arial"/>
          <w:sz w:val="20"/>
          <w:szCs w:val="20"/>
        </w:rPr>
        <w:t>201</w:t>
      </w:r>
      <w:r w:rsidR="00A80B77" w:rsidRPr="0088338F">
        <w:rPr>
          <w:rFonts w:ascii="Arial" w:hAnsi="Arial" w:cs="Arial"/>
          <w:sz w:val="20"/>
          <w:szCs w:val="20"/>
        </w:rPr>
        <w:t>6</w:t>
      </w:r>
      <w:r w:rsidR="00D61C76" w:rsidRPr="0088338F">
        <w:rPr>
          <w:rFonts w:ascii="Arial" w:hAnsi="Arial" w:cs="Arial"/>
          <w:sz w:val="20"/>
          <w:szCs w:val="20"/>
        </w:rPr>
        <w:t xml:space="preserve"> </w:t>
      </w:r>
      <w:r w:rsidR="0096295A" w:rsidRPr="0088338F">
        <w:rPr>
          <w:rFonts w:ascii="Arial" w:hAnsi="Arial" w:cs="Arial"/>
          <w:sz w:val="20"/>
          <w:szCs w:val="20"/>
        </w:rPr>
        <w:t xml:space="preserve">a porovnateľné údaje za rok </w:t>
      </w:r>
      <w:r w:rsidR="00D61C76" w:rsidRPr="0088338F">
        <w:rPr>
          <w:rFonts w:ascii="Arial" w:hAnsi="Arial" w:cs="Arial"/>
          <w:sz w:val="20"/>
          <w:szCs w:val="20"/>
        </w:rPr>
        <w:t>201</w:t>
      </w:r>
      <w:r w:rsidR="00A80B77" w:rsidRPr="0088338F">
        <w:rPr>
          <w:rFonts w:ascii="Arial" w:hAnsi="Arial" w:cs="Arial"/>
          <w:sz w:val="20"/>
          <w:szCs w:val="20"/>
        </w:rPr>
        <w:t>5</w:t>
      </w:r>
      <w:r w:rsidR="00D61C76" w:rsidRPr="0088338F">
        <w:rPr>
          <w:rFonts w:ascii="Arial" w:hAnsi="Arial" w:cs="Arial"/>
          <w:sz w:val="20"/>
          <w:szCs w:val="20"/>
        </w:rPr>
        <w:t xml:space="preserve"> </w:t>
      </w:r>
      <w:r w:rsidR="0096295A" w:rsidRPr="0088338F">
        <w:rPr>
          <w:rFonts w:ascii="Arial" w:hAnsi="Arial" w:cs="Arial"/>
          <w:sz w:val="20"/>
          <w:szCs w:val="20"/>
        </w:rPr>
        <w:t xml:space="preserve">boli vypracované v súlade s Medzinárodnými štandardmi pre finančné výkazníctvo (International Financial Reporting Standards, „IFRS“) v znení prijatom </w:t>
      </w:r>
      <w:r w:rsidR="00246798" w:rsidRPr="0088338F">
        <w:rPr>
          <w:rFonts w:ascii="Arial" w:hAnsi="Arial" w:cs="Arial"/>
          <w:sz w:val="20"/>
          <w:szCs w:val="20"/>
        </w:rPr>
        <w:t>orgánmi Európskej únie („EÚ“) v </w:t>
      </w:r>
      <w:r w:rsidR="0096295A" w:rsidRPr="0088338F">
        <w:rPr>
          <w:rFonts w:ascii="Arial" w:hAnsi="Arial" w:cs="Arial"/>
          <w:sz w:val="20"/>
          <w:szCs w:val="20"/>
        </w:rPr>
        <w:t xml:space="preserve">nariadení komisie (ES) č. 1126/2008 vrátane platných interpretácií Medzinárodného výboru pre interpretáciu finančných štandardov („IFRIC“). </w:t>
      </w:r>
      <w:r w:rsidR="008E1B0F" w:rsidRPr="0088338F">
        <w:rPr>
          <w:rFonts w:ascii="Arial" w:hAnsi="Arial" w:cs="Arial"/>
          <w:sz w:val="20"/>
          <w:szCs w:val="20"/>
        </w:rPr>
        <w:t>Banka nepripravuje konsolidovanú účtovnú závierku, v ktorej by zahrnula dcérsku spoločnosť Privatfin, s.r.o.</w:t>
      </w:r>
      <w:r w:rsidR="00D714B7" w:rsidRPr="0088338F">
        <w:rPr>
          <w:rFonts w:ascii="Arial" w:hAnsi="Arial" w:cs="Arial"/>
          <w:sz w:val="20"/>
          <w:szCs w:val="20"/>
        </w:rPr>
        <w:t>,</w:t>
      </w:r>
      <w:r w:rsidR="008E1B0F" w:rsidRPr="0088338F">
        <w:rPr>
          <w:rFonts w:ascii="Arial" w:hAnsi="Arial" w:cs="Arial"/>
          <w:sz w:val="20"/>
          <w:szCs w:val="20"/>
        </w:rPr>
        <w:t xml:space="preserve"> vzhľadom na nemateriálny vplyv na účtovnú závierku banky.</w:t>
      </w:r>
    </w:p>
    <w:p w14:paraId="1758D20A" w14:textId="77777777" w:rsidR="0096295A" w:rsidRPr="0088338F" w:rsidRDefault="0096295A" w:rsidP="0096295A">
      <w:pPr>
        <w:jc w:val="both"/>
        <w:rPr>
          <w:rFonts w:ascii="Arial" w:hAnsi="Arial" w:cs="Arial"/>
          <w:sz w:val="20"/>
          <w:szCs w:val="20"/>
        </w:rPr>
      </w:pPr>
    </w:p>
    <w:p w14:paraId="457E76AA" w14:textId="77777777" w:rsidR="004B3B14" w:rsidRPr="0088338F" w:rsidRDefault="004B3B14" w:rsidP="004B3B14">
      <w:pPr>
        <w:pStyle w:val="BodyText2"/>
        <w:tabs>
          <w:tab w:val="clear" w:pos="3600"/>
          <w:tab w:val="clear" w:pos="6480"/>
        </w:tabs>
        <w:ind w:left="0" w:firstLine="0"/>
        <w:rPr>
          <w:rFonts w:ascii="Arial" w:hAnsi="Arial" w:cs="Arial"/>
          <w:b/>
        </w:rPr>
      </w:pPr>
      <w:r w:rsidRPr="0088338F">
        <w:rPr>
          <w:rFonts w:ascii="Arial" w:hAnsi="Arial" w:cs="Arial"/>
          <w:b/>
        </w:rPr>
        <w:t>Štandardy a interpretácie platné v bežnom období</w:t>
      </w:r>
    </w:p>
    <w:p w14:paraId="1F9B37F8" w14:textId="77777777" w:rsidR="004B3B14" w:rsidRPr="0088338F" w:rsidRDefault="004B3B14" w:rsidP="004B3B14">
      <w:pPr>
        <w:pStyle w:val="BodyText2"/>
        <w:rPr>
          <w:rFonts w:ascii="Arial" w:hAnsi="Arial" w:cs="Arial"/>
        </w:rPr>
      </w:pPr>
    </w:p>
    <w:p w14:paraId="20BEE143" w14:textId="5EACC92F" w:rsidR="004B3B14" w:rsidRPr="0088338F" w:rsidRDefault="004B3B14" w:rsidP="004B3B14">
      <w:pPr>
        <w:pStyle w:val="BodyText2"/>
        <w:ind w:left="0" w:firstLine="0"/>
        <w:rPr>
          <w:rFonts w:ascii="Arial" w:hAnsi="Arial" w:cs="Arial"/>
        </w:rPr>
      </w:pPr>
      <w:r w:rsidRPr="0088338F">
        <w:rPr>
          <w:rFonts w:ascii="Arial" w:hAnsi="Arial" w:cs="Arial"/>
        </w:rPr>
        <w:t>Banka prijala všetky nové a revidované štandardy a interpretácie, ktoré vydala Rada pre medzinárodné účtovné štandardy (International Accounting Standards Board - IASB) a Výbor pre interpretáciu medzinárodných štandardov pre finančné výkazníctvo (International Financial Reporting Interpretations Committee - IFRIC) pri IASB, ktoré boli schválené na použitie v Európskej únii (ďalej len „EÚ“ ), a ktoré sa vzťahujú na jej činnosti a sú platné pre účtovné obdobia so začiatkom 1. januára 201</w:t>
      </w:r>
      <w:r w:rsidR="00A06D2C" w:rsidRPr="0088338F">
        <w:rPr>
          <w:rFonts w:ascii="Arial" w:hAnsi="Arial" w:cs="Arial"/>
        </w:rPr>
        <w:t>6</w:t>
      </w:r>
      <w:r w:rsidRPr="0088338F">
        <w:rPr>
          <w:rFonts w:ascii="Arial" w:hAnsi="Arial" w:cs="Arial"/>
        </w:rPr>
        <w:t>. Nasledujúce dodatky k existujúcim štandardom, ktoré vydala Rada pre medzinárodné účtovné štandardy a schválila EÚ, sú platné pre bežné účtovné obdobie:</w:t>
      </w:r>
    </w:p>
    <w:p w14:paraId="0A048E83" w14:textId="77777777" w:rsidR="00A06D2C" w:rsidRPr="0088338F" w:rsidRDefault="00A06D2C" w:rsidP="004B3B14">
      <w:pPr>
        <w:pStyle w:val="BodyText2"/>
        <w:ind w:left="0" w:firstLine="0"/>
        <w:rPr>
          <w:rFonts w:ascii="Arial" w:hAnsi="Arial" w:cs="Arial"/>
        </w:rPr>
      </w:pPr>
    </w:p>
    <w:p w14:paraId="383B1704" w14:textId="77777777" w:rsidR="00B30DE3" w:rsidRPr="0088338F" w:rsidRDefault="00B30DE3" w:rsidP="000F7EDB">
      <w:pPr>
        <w:pStyle w:val="BodyText2"/>
        <w:ind w:left="0" w:firstLine="0"/>
        <w:rPr>
          <w:rFonts w:ascii="Arial" w:hAnsi="Arial" w:cs="Arial"/>
          <w:b/>
          <w:i/>
          <w:color w:val="000000"/>
        </w:rPr>
      </w:pPr>
      <w:r w:rsidRPr="0088338F">
        <w:rPr>
          <w:rFonts w:ascii="Arial" w:hAnsi="Arial" w:cs="Arial"/>
          <w:b/>
          <w:i/>
          <w:color w:val="000000"/>
        </w:rPr>
        <w:t>Prvé uplatnenie nových dodatkov k existujúcim štandardom platných pre bežné účtovné obdobie</w:t>
      </w:r>
    </w:p>
    <w:p w14:paraId="75CE130E" w14:textId="77777777" w:rsidR="00262470" w:rsidRPr="0088338F" w:rsidRDefault="00262470" w:rsidP="000F7EDB">
      <w:pPr>
        <w:pStyle w:val="BodyText2"/>
        <w:ind w:left="0" w:firstLine="0"/>
        <w:rPr>
          <w:rFonts w:ascii="Arial" w:hAnsi="Arial" w:cs="Arial"/>
          <w:color w:val="000000"/>
        </w:rPr>
      </w:pPr>
    </w:p>
    <w:p w14:paraId="4DEED496" w14:textId="77777777" w:rsidR="00B30DE3" w:rsidRPr="0088338F" w:rsidRDefault="00B30DE3" w:rsidP="000F7EDB">
      <w:pPr>
        <w:pStyle w:val="BodyText2"/>
        <w:ind w:left="0" w:firstLine="0"/>
        <w:rPr>
          <w:rFonts w:ascii="Arial" w:hAnsi="Arial" w:cs="Arial"/>
          <w:color w:val="000000"/>
        </w:rPr>
      </w:pPr>
      <w:r w:rsidRPr="0088338F">
        <w:rPr>
          <w:rFonts w:ascii="Arial" w:hAnsi="Arial" w:cs="Arial"/>
          <w:color w:val="000000"/>
        </w:rPr>
        <w:t>Nasledujúce dodatky k existujúcim štandardom a nová interpretácia, ktoré vydala Rada pre medzinárodné účtovné štandardy (IASB) a schválila EÚ, sú platné pre bežné účtovné obdobie:</w:t>
      </w:r>
    </w:p>
    <w:p w14:paraId="5E5E5A0E" w14:textId="77777777" w:rsidR="00B30DE3" w:rsidRPr="0088338F" w:rsidRDefault="00B30DE3" w:rsidP="000F7EDB">
      <w:pPr>
        <w:pStyle w:val="BodyText2"/>
        <w:ind w:left="0" w:firstLine="0"/>
        <w:rPr>
          <w:rFonts w:ascii="Arial" w:hAnsi="Arial" w:cs="Arial"/>
          <w:color w:val="000000"/>
        </w:rPr>
      </w:pPr>
    </w:p>
    <w:p w14:paraId="64B1A393"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 xml:space="preserve">Dodatky k IFRS 10 „Konsolidovaná účtovná závierka“, IFRS 12 „Zverejňovanie podielov v iných účtovných jednotkách“ a IAS 28 „Investície do pridružených spoločností a spoločných podnikov“ </w:t>
      </w:r>
      <w:r w:rsidRPr="0088338F">
        <w:rPr>
          <w:rFonts w:ascii="Arial" w:hAnsi="Arial" w:cs="Arial"/>
          <w:color w:val="000000"/>
          <w:lang w:val="sk-SK"/>
        </w:rPr>
        <w:t>–</w:t>
      </w:r>
      <w:r w:rsidRPr="0088338F">
        <w:rPr>
          <w:rFonts w:ascii="Arial" w:hAnsi="Arial" w:cs="Arial"/>
          <w:color w:val="000000"/>
          <w:spacing w:val="1"/>
          <w:lang w:val="sk-SK"/>
        </w:rPr>
        <w:t xml:space="preserve"> Investičné subjekty: uplatňovanie výnimky z konsolidácie, </w:t>
      </w:r>
      <w:r w:rsidRPr="0088338F">
        <w:rPr>
          <w:rFonts w:ascii="Arial" w:hAnsi="Arial" w:cs="Arial"/>
          <w:spacing w:val="1"/>
          <w:lang w:val="sk-SK"/>
        </w:rPr>
        <w:t>prijaté</w:t>
      </w:r>
      <w:r w:rsidRPr="0088338F">
        <w:rPr>
          <w:rFonts w:ascii="Arial" w:hAnsi="Arial" w:cs="Arial"/>
          <w:color w:val="000000"/>
          <w:spacing w:val="1"/>
          <w:lang w:val="sk-SK"/>
        </w:rPr>
        <w:t xml:space="preserve"> EÚ dňa 22. septembra 2016 (s účinnosťou pre účtovné obdobia začínajúce sa 1. januára 2016 alebo neskôr),</w:t>
      </w:r>
    </w:p>
    <w:p w14:paraId="0DDD2C1A" w14:textId="77777777" w:rsidR="00B30DE3" w:rsidRPr="0088338F" w:rsidRDefault="00B30DE3" w:rsidP="000F7EDB">
      <w:pPr>
        <w:pStyle w:val="BodyText2"/>
        <w:ind w:left="0" w:firstLine="0"/>
        <w:rPr>
          <w:rFonts w:ascii="Arial" w:hAnsi="Arial" w:cs="Arial"/>
          <w:color w:val="000000"/>
        </w:rPr>
      </w:pPr>
    </w:p>
    <w:p w14:paraId="78F191EC"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b/>
          <w:color w:val="000000"/>
          <w:spacing w:val="1"/>
          <w:lang w:val="sk-SK"/>
        </w:rPr>
      </w:pPr>
      <w:r w:rsidRPr="0088338F">
        <w:rPr>
          <w:rFonts w:ascii="Arial" w:hAnsi="Arial" w:cs="Arial"/>
          <w:b/>
          <w:color w:val="000000"/>
          <w:spacing w:val="1"/>
          <w:lang w:val="sk-SK"/>
        </w:rPr>
        <w:t xml:space="preserve">Dodatky k IFRS 11 „Spoločné dohody” </w:t>
      </w:r>
      <w:r w:rsidRPr="0088338F">
        <w:rPr>
          <w:rFonts w:ascii="Arial" w:hAnsi="Arial" w:cs="Arial"/>
          <w:color w:val="000000"/>
          <w:spacing w:val="1"/>
          <w:lang w:val="sk-SK"/>
        </w:rPr>
        <w:t>– Účtovanie obstarania podielov v spoločných prevádzkach, prijaté EÚ dňa 24. novembra 2015 (s účinnosťou pre účtovné obdobia začínajúce sa 1. januára 2016 alebo neskôr),</w:t>
      </w:r>
    </w:p>
    <w:p w14:paraId="6677F894" w14:textId="77777777" w:rsidR="00B30DE3" w:rsidRPr="0088338F" w:rsidRDefault="00B30DE3" w:rsidP="000F7EDB">
      <w:pPr>
        <w:pStyle w:val="BodyText2"/>
        <w:ind w:left="0" w:firstLine="0"/>
        <w:rPr>
          <w:rFonts w:ascii="Arial" w:hAnsi="Arial" w:cs="Arial"/>
          <w:color w:val="000000"/>
        </w:rPr>
      </w:pPr>
    </w:p>
    <w:p w14:paraId="23882AB2"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 xml:space="preserve">Dodatky k IAS 1 „Prezentácia účtovnej závierky“ </w:t>
      </w:r>
      <w:r w:rsidRPr="0088338F">
        <w:rPr>
          <w:rFonts w:ascii="Arial" w:hAnsi="Arial" w:cs="Arial"/>
          <w:color w:val="000000"/>
          <w:spacing w:val="1"/>
          <w:lang w:val="sk-SK"/>
        </w:rPr>
        <w:t>– Iniciatíva zlepšení v oblasti zverejňovaných informácií, prijaté EÚ dňa 18. decembra 2015 (s účinnosťou pre účtovné obdobia začínajúce sa 1. januára 2016 alebo neskôr),</w:t>
      </w:r>
    </w:p>
    <w:p w14:paraId="39DABBD7" w14:textId="77777777" w:rsidR="00B30DE3" w:rsidRPr="0088338F" w:rsidRDefault="00B30DE3" w:rsidP="000F7EDB">
      <w:pPr>
        <w:pStyle w:val="BodyText2"/>
        <w:ind w:left="0" w:firstLine="0"/>
        <w:rPr>
          <w:rFonts w:ascii="Arial" w:hAnsi="Arial" w:cs="Arial"/>
          <w:color w:val="000000"/>
        </w:rPr>
      </w:pPr>
    </w:p>
    <w:p w14:paraId="17650465"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b/>
          <w:color w:val="000000"/>
          <w:spacing w:val="1"/>
          <w:lang w:val="sk-SK"/>
        </w:rPr>
      </w:pPr>
      <w:r w:rsidRPr="0088338F">
        <w:rPr>
          <w:rFonts w:ascii="Arial" w:hAnsi="Arial" w:cs="Arial"/>
          <w:b/>
          <w:color w:val="000000"/>
          <w:spacing w:val="1"/>
          <w:lang w:val="sk-SK"/>
        </w:rPr>
        <w:t xml:space="preserve">Dodatky k IAS 16 „Pozemky, budovy, stavby a zariadenia“ a IAS 38 „Nehmotný majetok“ </w:t>
      </w:r>
      <w:r w:rsidRPr="0088338F">
        <w:rPr>
          <w:rFonts w:ascii="Arial" w:hAnsi="Arial" w:cs="Arial"/>
          <w:color w:val="000000"/>
          <w:spacing w:val="1"/>
          <w:lang w:val="sk-SK"/>
        </w:rPr>
        <w:t>– Vysvetlenie prijateľných metód odpisovania a amortizácie, prijaté EÚ dňa 2. decembra 2015 (s účinnosťou pre účtovné obdobia začínajúce sa 1. januára 2016 alebo neskôr),</w:t>
      </w:r>
    </w:p>
    <w:p w14:paraId="19664FA4" w14:textId="77777777" w:rsidR="00B30DE3" w:rsidRPr="0088338F" w:rsidRDefault="00B30DE3" w:rsidP="000F7EDB">
      <w:pPr>
        <w:pStyle w:val="BodyText2"/>
        <w:ind w:left="0" w:firstLine="0"/>
        <w:rPr>
          <w:rFonts w:ascii="Arial" w:hAnsi="Arial" w:cs="Arial"/>
          <w:color w:val="000000"/>
        </w:rPr>
      </w:pPr>
    </w:p>
    <w:p w14:paraId="0509FBDB"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b/>
          <w:color w:val="000000"/>
          <w:spacing w:val="1"/>
          <w:lang w:val="sk-SK"/>
        </w:rPr>
      </w:pPr>
      <w:r w:rsidRPr="0088338F">
        <w:rPr>
          <w:rFonts w:ascii="Arial" w:hAnsi="Arial" w:cs="Arial"/>
          <w:b/>
          <w:color w:val="000000"/>
          <w:spacing w:val="1"/>
          <w:lang w:val="sk-SK"/>
        </w:rPr>
        <w:lastRenderedPageBreak/>
        <w:t xml:space="preserve">Dodatky k IAS 16 „Pozemky, budovy, stavby a zariadenia“ a IAS 41 „Poľnohospodárstvo“ </w:t>
      </w:r>
      <w:r w:rsidRPr="0088338F">
        <w:rPr>
          <w:rFonts w:ascii="Arial" w:hAnsi="Arial" w:cs="Arial"/>
          <w:color w:val="000000"/>
          <w:spacing w:val="1"/>
          <w:lang w:val="sk-SK"/>
        </w:rPr>
        <w:t>– Plodiace rastliny, prijaté EÚ dňa 23. novembra 2015 (s účinnosťou pre účtovné obdobia začínajúce sa 1. januára 2016 alebo neskôr),</w:t>
      </w:r>
    </w:p>
    <w:p w14:paraId="6B0FB9A7" w14:textId="77777777" w:rsidR="00B30DE3" w:rsidRPr="0088338F" w:rsidRDefault="00B30DE3" w:rsidP="000F7EDB">
      <w:pPr>
        <w:pStyle w:val="BodyText2"/>
        <w:ind w:left="0" w:firstLine="0"/>
        <w:rPr>
          <w:rFonts w:ascii="Arial" w:hAnsi="Arial" w:cs="Arial"/>
          <w:color w:val="000000"/>
        </w:rPr>
      </w:pPr>
    </w:p>
    <w:p w14:paraId="5552253E"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b/>
          <w:color w:val="000000"/>
          <w:spacing w:val="1"/>
          <w:lang w:val="sk-SK"/>
        </w:rPr>
      </w:pPr>
      <w:r w:rsidRPr="0088338F">
        <w:rPr>
          <w:rFonts w:ascii="Arial" w:hAnsi="Arial" w:cs="Arial"/>
          <w:b/>
          <w:color w:val="000000"/>
          <w:spacing w:val="1"/>
          <w:lang w:val="sk-SK"/>
        </w:rPr>
        <w:t xml:space="preserve">Dodatky k IAS 19 „Zamestnanecké požitky“ </w:t>
      </w:r>
      <w:r w:rsidRPr="0088338F">
        <w:rPr>
          <w:rFonts w:ascii="Arial" w:hAnsi="Arial" w:cs="Arial"/>
          <w:color w:val="000000"/>
          <w:spacing w:val="1"/>
          <w:lang w:val="sk-SK"/>
        </w:rPr>
        <w:t>– Plány definovaných požitkov: príspevky zamestnancov, prijaté EÚ dňa 17. decembra 2014 (s účinnosťou pre účtovné obdobia začínajúce sa 1. februára 2015 alebo neskôr),</w:t>
      </w:r>
    </w:p>
    <w:p w14:paraId="4B6B92D1" w14:textId="77777777" w:rsidR="00B30DE3" w:rsidRPr="0088338F" w:rsidRDefault="00B30DE3" w:rsidP="000F7EDB">
      <w:pPr>
        <w:pStyle w:val="BodyText2"/>
        <w:ind w:left="0" w:firstLine="0"/>
        <w:rPr>
          <w:rFonts w:ascii="Arial" w:hAnsi="Arial" w:cs="Arial"/>
          <w:color w:val="000000"/>
        </w:rPr>
      </w:pPr>
    </w:p>
    <w:p w14:paraId="78EC26DA"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b/>
          <w:color w:val="000000"/>
          <w:spacing w:val="1"/>
          <w:lang w:val="sk-SK"/>
        </w:rPr>
      </w:pPr>
      <w:r w:rsidRPr="0088338F">
        <w:rPr>
          <w:rFonts w:ascii="Arial" w:hAnsi="Arial" w:cs="Arial"/>
          <w:b/>
          <w:color w:val="000000"/>
          <w:spacing w:val="1"/>
          <w:lang w:val="sk-SK"/>
        </w:rPr>
        <w:t xml:space="preserve">Dodatky k IAS 27 „Individuálna účtovná závierka“ </w:t>
      </w:r>
      <w:r w:rsidRPr="0088338F">
        <w:rPr>
          <w:rFonts w:ascii="Arial" w:hAnsi="Arial" w:cs="Arial"/>
          <w:color w:val="000000"/>
          <w:spacing w:val="1"/>
          <w:lang w:val="sk-SK"/>
        </w:rPr>
        <w:t>– Metóda vlastného imania v individuálnej účtovnej závierke, prijaté EÚ dňa 18. decembra 2015 (s účinnosťou pre účtovné obdobia začínajúce sa 1. januára 2016 alebo neskôr),</w:t>
      </w:r>
    </w:p>
    <w:p w14:paraId="169B6B9D" w14:textId="77777777" w:rsidR="00B30DE3" w:rsidRPr="0088338F" w:rsidRDefault="00B30DE3" w:rsidP="000F7EDB">
      <w:pPr>
        <w:pStyle w:val="BodyText2"/>
        <w:ind w:left="0" w:firstLine="0"/>
        <w:rPr>
          <w:rFonts w:ascii="Arial" w:hAnsi="Arial" w:cs="Arial"/>
          <w:color w:val="000000"/>
        </w:rPr>
      </w:pPr>
    </w:p>
    <w:p w14:paraId="637C2798"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 xml:space="preserve">Dodatky k rôznym štandardom „Projekt zvyšovania kvality IFRS (cyklus 2010 – 2012)“ </w:t>
      </w:r>
      <w:r w:rsidRPr="0088338F">
        <w:rPr>
          <w:rFonts w:ascii="Arial" w:hAnsi="Arial" w:cs="Arial"/>
          <w:color w:val="000000"/>
          <w:spacing w:val="1"/>
          <w:lang w:val="sk-SK"/>
        </w:rPr>
        <w:t>vyplývajúce z ročného projektu zvyšovania kvality IFRS (IFRS 2, IFRS 3, IFRS 8, IFRS 13, IAS 16, IAS 24 a IAS 38), ktorých cieľom je predovšetkým odstrániť nezrovnalosti a vysvetliť znenie, prijaté EÚ dňa 17. decembra 2014 (dodatky sa budú vzťahovať na účtovné obdobia začínajúce sa 1. februára 2015 alebo neskôr),</w:t>
      </w:r>
    </w:p>
    <w:p w14:paraId="2D07EFF3" w14:textId="77777777" w:rsidR="00B30DE3" w:rsidRPr="0088338F" w:rsidRDefault="00B30DE3" w:rsidP="000F7EDB">
      <w:pPr>
        <w:pStyle w:val="BodyText2"/>
        <w:ind w:left="0" w:firstLine="0"/>
        <w:rPr>
          <w:rFonts w:ascii="Arial" w:hAnsi="Arial" w:cs="Arial"/>
          <w:color w:val="000000"/>
        </w:rPr>
      </w:pPr>
    </w:p>
    <w:p w14:paraId="248D0F2D"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 xml:space="preserve">Dodatky k rôznym štandardom „Projekt zvyšovania kvality IFRS (cyklus 2012 – 2014)“ </w:t>
      </w:r>
      <w:r w:rsidRPr="0088338F">
        <w:rPr>
          <w:rFonts w:ascii="Arial" w:hAnsi="Arial" w:cs="Arial"/>
          <w:color w:val="000000"/>
          <w:spacing w:val="1"/>
          <w:lang w:val="sk-SK"/>
        </w:rPr>
        <w:t>vyplývajúce z ročného projektu zvyšovania kvality IFRS (IFRS 5, IFRS 7, IAS 19 a IAS 34), ktorých cieľom je predovšetkým odstrániť nezrovnalosti a vysvetliť znenie, prijaté EÚ dňa 15. decembra 2015 (dodatky sa budú vzťahovať na účtovné obdobia začínajúce sa 1. januára 2016 alebo neskôr).</w:t>
      </w:r>
    </w:p>
    <w:p w14:paraId="528BF947" w14:textId="77777777" w:rsidR="00B30DE3" w:rsidRPr="0088338F" w:rsidRDefault="00B30DE3" w:rsidP="000F7EDB">
      <w:pPr>
        <w:pStyle w:val="BodyText2"/>
        <w:ind w:left="0" w:firstLine="0"/>
        <w:rPr>
          <w:rFonts w:ascii="Arial" w:hAnsi="Arial" w:cs="Arial"/>
        </w:rPr>
      </w:pPr>
    </w:p>
    <w:p w14:paraId="5EE70104" w14:textId="30C267F9" w:rsidR="00B30DE3" w:rsidRPr="0088338F" w:rsidRDefault="00B30DE3" w:rsidP="000F7EDB">
      <w:pPr>
        <w:pStyle w:val="BodyText2"/>
        <w:ind w:left="0" w:firstLine="0"/>
        <w:rPr>
          <w:rFonts w:ascii="Arial" w:hAnsi="Arial" w:cs="Arial"/>
        </w:rPr>
      </w:pPr>
      <w:r w:rsidRPr="0088338F">
        <w:rPr>
          <w:rFonts w:ascii="Arial" w:hAnsi="Arial" w:cs="Arial"/>
        </w:rPr>
        <w:t>Uplatnenie týchto dodatkov k existujúcim štandardom nevied</w:t>
      </w:r>
      <w:r w:rsidR="008E6838" w:rsidRPr="0088338F">
        <w:rPr>
          <w:rFonts w:ascii="Arial" w:hAnsi="Arial" w:cs="Arial"/>
        </w:rPr>
        <w:t>lo k žiadnym významným zmenám v </w:t>
      </w:r>
      <w:r w:rsidRPr="0088338F">
        <w:rPr>
          <w:rFonts w:ascii="Arial" w:hAnsi="Arial" w:cs="Arial"/>
        </w:rPr>
        <w:t>účtovnej závierke</w:t>
      </w:r>
      <w:r w:rsidR="00B7224A" w:rsidRPr="0088338F">
        <w:rPr>
          <w:rFonts w:ascii="Arial" w:hAnsi="Arial" w:cs="Arial"/>
        </w:rPr>
        <w:t>.</w:t>
      </w:r>
    </w:p>
    <w:p w14:paraId="3FF81314" w14:textId="77777777" w:rsidR="00B30DE3" w:rsidRPr="0088338F" w:rsidRDefault="00B30DE3" w:rsidP="000F7EDB">
      <w:pPr>
        <w:pStyle w:val="BodyText3"/>
        <w:jc w:val="both"/>
        <w:rPr>
          <w:rFonts w:ascii="Arial" w:hAnsi="Arial" w:cs="Arial"/>
          <w:b/>
          <w:i/>
          <w:color w:val="000000"/>
          <w:lang w:val="sk-SK"/>
        </w:rPr>
      </w:pPr>
    </w:p>
    <w:p w14:paraId="2B00AFB2" w14:textId="77777777" w:rsidR="00B30DE3" w:rsidRPr="0088338F" w:rsidRDefault="00B30DE3" w:rsidP="000F7EDB">
      <w:pPr>
        <w:pStyle w:val="BodyText3"/>
        <w:spacing w:line="260" w:lineRule="auto"/>
        <w:jc w:val="both"/>
        <w:rPr>
          <w:rFonts w:ascii="Arial" w:hAnsi="Arial" w:cs="Arial"/>
          <w:b/>
          <w:i/>
          <w:color w:val="000000"/>
          <w:lang w:val="sk-SK"/>
        </w:rPr>
      </w:pPr>
      <w:r w:rsidRPr="0088338F">
        <w:rPr>
          <w:rFonts w:ascii="Arial" w:hAnsi="Arial" w:cs="Arial"/>
          <w:b/>
          <w:i/>
          <w:color w:val="000000"/>
          <w:lang w:val="sk-SK"/>
        </w:rPr>
        <w:t xml:space="preserve">Štandardy a dodatky k existujúcim štandardom vydané radou IASB a schválené EÚ, ktoré však zatiaľ nenadobudli účinnosť </w:t>
      </w:r>
    </w:p>
    <w:p w14:paraId="59EA9749" w14:textId="77777777" w:rsidR="00B7224A" w:rsidRPr="0088338F" w:rsidRDefault="00B7224A" w:rsidP="000F7EDB">
      <w:pPr>
        <w:pStyle w:val="BodyText2"/>
        <w:ind w:left="0" w:firstLine="0"/>
        <w:rPr>
          <w:rFonts w:ascii="Arial" w:hAnsi="Arial" w:cs="Arial"/>
          <w:color w:val="000000"/>
        </w:rPr>
      </w:pPr>
    </w:p>
    <w:p w14:paraId="546119CD" w14:textId="26DF734C" w:rsidR="00B30DE3" w:rsidRPr="0088338F" w:rsidRDefault="00B30DE3" w:rsidP="000F7EDB">
      <w:pPr>
        <w:pStyle w:val="BodyText2"/>
        <w:ind w:left="0" w:firstLine="0"/>
        <w:rPr>
          <w:rFonts w:ascii="Arial" w:hAnsi="Arial" w:cs="Arial"/>
          <w:color w:val="000000"/>
        </w:rPr>
      </w:pPr>
      <w:r w:rsidRPr="0088338F">
        <w:rPr>
          <w:rFonts w:ascii="Arial" w:hAnsi="Arial" w:cs="Arial"/>
          <w:color w:val="000000"/>
        </w:rPr>
        <w:t>K dátumu schválenia tejto účtovnej závierky boli vydané nasledu</w:t>
      </w:r>
      <w:r w:rsidR="00621D7B">
        <w:rPr>
          <w:rFonts w:ascii="Arial" w:hAnsi="Arial" w:cs="Arial"/>
          <w:color w:val="000000"/>
        </w:rPr>
        <w:t>júce nové štandardy a dodatky k </w:t>
      </w:r>
      <w:r w:rsidRPr="0088338F">
        <w:rPr>
          <w:rFonts w:ascii="Arial" w:hAnsi="Arial" w:cs="Arial"/>
          <w:color w:val="000000"/>
        </w:rPr>
        <w:t>štandardom vydané radou IASB a schválené EÚ, ktoré zatiaľ nenadobudli účinnosť:</w:t>
      </w:r>
    </w:p>
    <w:p w14:paraId="2C27BB05" w14:textId="77777777" w:rsidR="00B30DE3" w:rsidRPr="0088338F" w:rsidRDefault="00B30DE3" w:rsidP="00B30DE3">
      <w:pPr>
        <w:rPr>
          <w:rFonts w:ascii="Arial" w:hAnsi="Arial" w:cs="Arial"/>
          <w:sz w:val="20"/>
          <w:szCs w:val="20"/>
        </w:rPr>
      </w:pPr>
    </w:p>
    <w:p w14:paraId="0B3E77BA" w14:textId="77777777" w:rsidR="00B30DE3" w:rsidRPr="0088338F" w:rsidRDefault="00B30DE3" w:rsidP="000F7EDB">
      <w:pPr>
        <w:pStyle w:val="ListParagraph"/>
        <w:numPr>
          <w:ilvl w:val="0"/>
          <w:numId w:val="30"/>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 xml:space="preserve">IFRS 9 „Finančné nástroje“ </w:t>
      </w:r>
      <w:r w:rsidRPr="0088338F">
        <w:rPr>
          <w:rFonts w:ascii="Arial" w:hAnsi="Arial" w:cs="Arial"/>
          <w:color w:val="000000"/>
          <w:spacing w:val="1"/>
          <w:lang w:val="sk-SK"/>
        </w:rPr>
        <w:t>– prijaté EÚ dňa 22. novembra 2016 (s účinnosťou pre účtovné obdobia začínajúce sa 1. januára 2018 alebo neskôr),</w:t>
      </w:r>
    </w:p>
    <w:p w14:paraId="7683C3ED" w14:textId="77777777" w:rsidR="00B30DE3" w:rsidRPr="0088338F" w:rsidRDefault="00B30DE3" w:rsidP="00B30DE3">
      <w:pPr>
        <w:pStyle w:val="ListParagraph"/>
        <w:ind w:left="360"/>
        <w:jc w:val="both"/>
        <w:rPr>
          <w:rFonts w:ascii="Arial" w:hAnsi="Arial" w:cs="Arial"/>
          <w:lang w:val="sk-SK"/>
        </w:rPr>
      </w:pPr>
    </w:p>
    <w:p w14:paraId="3800657E" w14:textId="77777777" w:rsidR="00B30DE3" w:rsidRPr="0088338F" w:rsidRDefault="00B30DE3" w:rsidP="000F7EDB">
      <w:pPr>
        <w:pStyle w:val="ListParagraph"/>
        <w:numPr>
          <w:ilvl w:val="0"/>
          <w:numId w:val="30"/>
        </w:numPr>
        <w:tabs>
          <w:tab w:val="left" w:pos="567"/>
        </w:tabs>
        <w:ind w:left="567" w:hanging="567"/>
        <w:contextualSpacing/>
        <w:jc w:val="both"/>
        <w:rPr>
          <w:rFonts w:ascii="Arial" w:hAnsi="Arial" w:cs="Arial"/>
          <w:lang w:val="sk-SK"/>
        </w:rPr>
      </w:pPr>
      <w:r w:rsidRPr="0088338F">
        <w:rPr>
          <w:rFonts w:ascii="Arial" w:hAnsi="Arial" w:cs="Arial"/>
          <w:b/>
          <w:lang w:val="sk-SK"/>
        </w:rPr>
        <w:t xml:space="preserve">IFRS 15 „Výnosy zo zmlúv so zákazníkmi“ </w:t>
      </w:r>
      <w:r w:rsidRPr="0088338F">
        <w:rPr>
          <w:rFonts w:ascii="Arial" w:hAnsi="Arial" w:cs="Arial"/>
          <w:lang w:val="sk-SK"/>
        </w:rPr>
        <w:t>a dodatky k IFRS 15 „ Dátum účinnosti IFRS 15“, prijaté EÚ dňa 22. septembra 2016 (</w:t>
      </w:r>
      <w:r w:rsidRPr="0088338F">
        <w:rPr>
          <w:rFonts w:ascii="Arial" w:hAnsi="Arial" w:cs="Arial"/>
          <w:color w:val="000000"/>
          <w:spacing w:val="1"/>
          <w:lang w:val="sk-SK"/>
        </w:rPr>
        <w:t>s účinnosťou pre účtovné obdobia začínajúce sa 1. januára 2018 alebo neskôr</w:t>
      </w:r>
      <w:r w:rsidRPr="0088338F">
        <w:rPr>
          <w:rFonts w:ascii="Arial" w:hAnsi="Arial" w:cs="Arial"/>
          <w:lang w:val="sk-SK"/>
        </w:rPr>
        <w:t>).</w:t>
      </w:r>
    </w:p>
    <w:p w14:paraId="02425923" w14:textId="77777777" w:rsidR="00B30DE3" w:rsidRPr="0088338F" w:rsidRDefault="00B30DE3" w:rsidP="00B30DE3">
      <w:pPr>
        <w:rPr>
          <w:rFonts w:ascii="Arial" w:hAnsi="Arial" w:cs="Arial"/>
          <w:sz w:val="20"/>
          <w:szCs w:val="20"/>
        </w:rPr>
      </w:pPr>
    </w:p>
    <w:p w14:paraId="795C1110" w14:textId="28DC1A92" w:rsidR="006D5D33" w:rsidRPr="0088338F" w:rsidRDefault="006D5D33" w:rsidP="006D5D33">
      <w:pPr>
        <w:jc w:val="both"/>
        <w:rPr>
          <w:rFonts w:ascii="Arial" w:hAnsi="Arial" w:cs="Arial"/>
          <w:sz w:val="20"/>
          <w:szCs w:val="20"/>
        </w:rPr>
      </w:pPr>
      <w:r w:rsidRPr="0088338F">
        <w:rPr>
          <w:rFonts w:ascii="Arial" w:hAnsi="Arial" w:cs="Arial"/>
          <w:sz w:val="20"/>
          <w:szCs w:val="20"/>
        </w:rPr>
        <w:t>Vedenie banky očakáva, že prijatie týchto štandardov, dodatkov k existujúcim štandardom a interpretácií nebude mať významný vplyv na jej finančné výkazy v období prvého uplatnenia, okrem štandardu IFRS 9, ktorého uplatnenie bude mať kvantifikovateľný vplyv na vlastné imanie banky.</w:t>
      </w:r>
    </w:p>
    <w:p w14:paraId="3907BFF6" w14:textId="77777777" w:rsidR="006D5D33" w:rsidRPr="0088338F" w:rsidRDefault="006D5D33" w:rsidP="00B30DE3">
      <w:pPr>
        <w:rPr>
          <w:rFonts w:ascii="Arial" w:hAnsi="Arial" w:cs="Arial"/>
          <w:sz w:val="20"/>
          <w:szCs w:val="20"/>
        </w:rPr>
      </w:pPr>
    </w:p>
    <w:p w14:paraId="40CB3193" w14:textId="77777777" w:rsidR="00B30DE3" w:rsidRPr="0088338F" w:rsidRDefault="00B30DE3" w:rsidP="000F7EDB">
      <w:pPr>
        <w:pStyle w:val="BodyText3"/>
        <w:spacing w:line="260" w:lineRule="auto"/>
        <w:jc w:val="both"/>
        <w:rPr>
          <w:rFonts w:ascii="Arial" w:hAnsi="Arial" w:cs="Arial"/>
          <w:b/>
          <w:i/>
          <w:color w:val="000000"/>
          <w:lang w:val="sk-SK"/>
        </w:rPr>
      </w:pPr>
      <w:r w:rsidRPr="0088338F">
        <w:rPr>
          <w:rFonts w:ascii="Arial" w:hAnsi="Arial" w:cs="Arial"/>
          <w:b/>
          <w:i/>
          <w:color w:val="000000"/>
          <w:lang w:val="sk-SK"/>
        </w:rPr>
        <w:t>Nové štandardy a dodatky k existujúcim štandardom vydané radou IASB, ktoré EÚ zatiaľ neschválila</w:t>
      </w:r>
    </w:p>
    <w:p w14:paraId="1EE51BDB" w14:textId="77777777" w:rsidR="00B7224A" w:rsidRPr="0088338F" w:rsidRDefault="00B7224A" w:rsidP="00B30DE3">
      <w:pPr>
        <w:pStyle w:val="ListParagraph"/>
        <w:ind w:left="0"/>
        <w:jc w:val="both"/>
        <w:rPr>
          <w:rFonts w:ascii="Arial" w:hAnsi="Arial" w:cs="Arial"/>
          <w:color w:val="000000"/>
          <w:lang w:val="sk-SK"/>
        </w:rPr>
      </w:pPr>
    </w:p>
    <w:p w14:paraId="4E39A4F3" w14:textId="05E2DFCE" w:rsidR="00B30DE3" w:rsidRPr="0088338F" w:rsidRDefault="00B30DE3" w:rsidP="00B30DE3">
      <w:pPr>
        <w:pStyle w:val="ListParagraph"/>
        <w:ind w:left="0"/>
        <w:jc w:val="both"/>
        <w:rPr>
          <w:rFonts w:ascii="Arial" w:hAnsi="Arial" w:cs="Arial"/>
          <w:color w:val="000000"/>
          <w:lang w:val="sk-SK"/>
        </w:rPr>
      </w:pPr>
      <w:r w:rsidRPr="0088338F">
        <w:rPr>
          <w:rFonts w:ascii="Arial" w:hAnsi="Arial" w:cs="Arial"/>
          <w:color w:val="000000"/>
          <w:lang w:val="sk-SK"/>
        </w:rPr>
        <w:t>V súčasnosti sa štandardy IFRS tak, ako ich schválila EÚ, významne neodlišujú od predpisov schválených Radou pre medzinárodné účtovné štandardy (IASB) okrem nasledujúcich nových štandardov, dodatkov k existujúcim štandardom a novej interpretácie, ktoré neboli schválené na použitie v EÚ k dátum</w:t>
      </w:r>
      <w:r w:rsidR="000F7EDB" w:rsidRPr="0088338F">
        <w:rPr>
          <w:rFonts w:ascii="Arial" w:hAnsi="Arial" w:cs="Arial"/>
          <w:color w:val="000000"/>
          <w:lang w:val="sk-SK"/>
        </w:rPr>
        <w:t>u</w:t>
      </w:r>
      <w:r w:rsidRPr="0088338F">
        <w:rPr>
          <w:rFonts w:ascii="Arial" w:hAnsi="Arial" w:cs="Arial"/>
          <w:color w:val="000000"/>
          <w:lang w:val="sk-SK"/>
        </w:rPr>
        <w:t xml:space="preserve"> </w:t>
      </w:r>
      <w:r w:rsidR="00201608">
        <w:rPr>
          <w:rFonts w:ascii="Arial" w:hAnsi="Arial" w:cs="Arial"/>
          <w:color w:val="000000"/>
          <w:lang w:val="sk-SK"/>
        </w:rPr>
        <w:t>zostavenia</w:t>
      </w:r>
      <w:r w:rsidRPr="0088338F">
        <w:rPr>
          <w:rFonts w:ascii="Arial" w:hAnsi="Arial" w:cs="Arial"/>
          <w:color w:val="000000"/>
          <w:lang w:val="sk-SK"/>
        </w:rPr>
        <w:t xml:space="preserve"> účtovnej závierky (uvedené dátumy účinnosti sa vzťahujú na IFRS v plnom znení): </w:t>
      </w:r>
    </w:p>
    <w:p w14:paraId="1479E23C" w14:textId="77777777" w:rsidR="00B30DE3" w:rsidRPr="0088338F" w:rsidRDefault="00B30DE3" w:rsidP="000F7EDB">
      <w:pPr>
        <w:jc w:val="both"/>
        <w:rPr>
          <w:rFonts w:ascii="Arial" w:hAnsi="Arial" w:cs="Arial"/>
          <w:color w:val="000000"/>
          <w:spacing w:val="1"/>
        </w:rPr>
      </w:pPr>
    </w:p>
    <w:p w14:paraId="22E8D71D" w14:textId="77777777" w:rsidR="00B30DE3" w:rsidRPr="0088338F" w:rsidRDefault="00B30DE3" w:rsidP="00B7224A">
      <w:pPr>
        <w:pStyle w:val="ListParagraph"/>
        <w:numPr>
          <w:ilvl w:val="0"/>
          <w:numId w:val="30"/>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 xml:space="preserve">IFRS 14 „Účty časového rozlíšenia pri regulácii“ </w:t>
      </w:r>
      <w:r w:rsidRPr="0088338F">
        <w:rPr>
          <w:rFonts w:ascii="Arial" w:hAnsi="Arial" w:cs="Arial"/>
          <w:color w:val="000000"/>
          <w:spacing w:val="1"/>
          <w:lang w:val="sk-SK"/>
        </w:rPr>
        <w:t>(s účinnosťou pre účtovné obdobia začínajúce sa 1. januára 2016 alebo neskôr) – Európska komisia sa rozhodla, že nezačne proces schvaľovania tohto predbežného štandardu a počká na jeho konečné znenie,</w:t>
      </w:r>
    </w:p>
    <w:p w14:paraId="0AA75D1B" w14:textId="77777777" w:rsidR="0088338F" w:rsidRDefault="0088338F">
      <w:pPr>
        <w:rPr>
          <w:rFonts w:ascii="Arial" w:hAnsi="Arial" w:cs="Arial"/>
          <w:b/>
          <w:color w:val="000000"/>
          <w:spacing w:val="1"/>
          <w:sz w:val="20"/>
          <w:szCs w:val="20"/>
          <w:lang w:eastAsia="cs-CZ"/>
        </w:rPr>
      </w:pPr>
      <w:r>
        <w:rPr>
          <w:rFonts w:ascii="Arial" w:hAnsi="Arial" w:cs="Arial"/>
          <w:b/>
          <w:color w:val="000000"/>
          <w:spacing w:val="1"/>
        </w:rPr>
        <w:br w:type="page"/>
      </w:r>
    </w:p>
    <w:p w14:paraId="335E2F90" w14:textId="4D2474F3" w:rsidR="00B30DE3" w:rsidRPr="0088338F" w:rsidRDefault="00B30DE3" w:rsidP="000F7EDB">
      <w:pPr>
        <w:pStyle w:val="ListParagraph"/>
        <w:numPr>
          <w:ilvl w:val="0"/>
          <w:numId w:val="30"/>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lastRenderedPageBreak/>
        <w:t xml:space="preserve">IFRS 16 „Lízingy“ </w:t>
      </w:r>
      <w:r w:rsidRPr="0088338F">
        <w:rPr>
          <w:rFonts w:ascii="Arial" w:hAnsi="Arial" w:cs="Arial"/>
          <w:color w:val="000000"/>
          <w:spacing w:val="1"/>
          <w:lang w:val="sk-SK"/>
        </w:rPr>
        <w:t>(s účinnosťou pre účtovné obdobia začínajúce sa 1. januára 2019 alebo neskôr),</w:t>
      </w:r>
    </w:p>
    <w:p w14:paraId="5E03051C" w14:textId="51AB970B" w:rsidR="008E6838" w:rsidRPr="0088338F" w:rsidRDefault="008E6838">
      <w:pPr>
        <w:rPr>
          <w:rFonts w:ascii="Arial" w:hAnsi="Arial" w:cs="Arial"/>
          <w:b/>
          <w:color w:val="000000"/>
          <w:spacing w:val="1"/>
          <w:sz w:val="20"/>
          <w:szCs w:val="20"/>
          <w:lang w:eastAsia="cs-CZ"/>
        </w:rPr>
      </w:pPr>
    </w:p>
    <w:p w14:paraId="7D305925" w14:textId="65BB5043"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Dodatky k IFRS 2 „Platby na základe podielov“</w:t>
      </w:r>
      <w:r w:rsidRPr="0088338F">
        <w:rPr>
          <w:rFonts w:ascii="Arial" w:hAnsi="Arial" w:cs="Arial"/>
          <w:color w:val="000000"/>
          <w:spacing w:val="1"/>
          <w:lang w:val="sk-SK"/>
        </w:rPr>
        <w:t xml:space="preserve"> – Klasifikácia a oceňovanie transakcií platbami na základe podielov (s účinnosťou pre účtovné obdobia začínajúce sa 1. januára 2018 alebo neskôr),</w:t>
      </w:r>
    </w:p>
    <w:p w14:paraId="42D8D807" w14:textId="77777777" w:rsidR="00B30DE3" w:rsidRPr="0088338F" w:rsidRDefault="00B30DE3" w:rsidP="000F7EDB">
      <w:pPr>
        <w:jc w:val="both"/>
        <w:rPr>
          <w:rFonts w:ascii="Arial" w:hAnsi="Arial" w:cs="Arial"/>
          <w:color w:val="000000"/>
          <w:spacing w:val="1"/>
        </w:rPr>
      </w:pPr>
    </w:p>
    <w:p w14:paraId="13E45A7D"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 xml:space="preserve">Dodatky k IFRS 4 „Poistné zmluvy“ </w:t>
      </w:r>
      <w:r w:rsidRPr="0088338F">
        <w:rPr>
          <w:rFonts w:ascii="Arial" w:hAnsi="Arial" w:cs="Arial"/>
          <w:color w:val="000000"/>
          <w:spacing w:val="1"/>
          <w:lang w:val="sk-SK"/>
        </w:rPr>
        <w:t>– Uplatňovanie IFRS 9 „Finančné nástroje“ a IFRS 4 „Poistné zmluvy“ (s účinnosťou pre účtovné obdobia začínajúce sa 1. januára 2018 alebo neskôr, alebo keď sa IFRS 9 „Finančné nástroje“ uplatňuje po prvýkrát),</w:t>
      </w:r>
    </w:p>
    <w:p w14:paraId="3A702E00" w14:textId="77777777" w:rsidR="00B30DE3" w:rsidRPr="0088338F" w:rsidRDefault="00B30DE3" w:rsidP="000F7EDB">
      <w:pPr>
        <w:jc w:val="both"/>
        <w:rPr>
          <w:rFonts w:ascii="Arial" w:hAnsi="Arial" w:cs="Arial"/>
          <w:color w:val="000000"/>
          <w:spacing w:val="1"/>
        </w:rPr>
      </w:pPr>
    </w:p>
    <w:p w14:paraId="7CA17F80"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 xml:space="preserve">Dodatky k IFRS 10 „Konsolidovaná účtovná závierka“ a IAS 28 „Investície do pridružených spoločností a spoločných podnikov“ </w:t>
      </w:r>
      <w:r w:rsidRPr="0088338F">
        <w:rPr>
          <w:rFonts w:ascii="Arial" w:hAnsi="Arial" w:cs="Arial"/>
          <w:color w:val="000000"/>
          <w:spacing w:val="1"/>
          <w:lang w:val="sk-SK"/>
        </w:rPr>
        <w:t>– Predaj alebo vklad majetku medzi investorom a jeho pridruženou spoločnosťou alebo spoločným podnikom a ďalšie dodatky (dátum účinnosti bol odložený na neurčito, kým nebude ukončený projekt skúmania metódy vlastného imania),</w:t>
      </w:r>
    </w:p>
    <w:p w14:paraId="5AA558F8" w14:textId="77777777" w:rsidR="00B30DE3" w:rsidRPr="0088338F" w:rsidRDefault="00B30DE3" w:rsidP="000F7EDB">
      <w:pPr>
        <w:jc w:val="both"/>
        <w:rPr>
          <w:rFonts w:ascii="Arial" w:hAnsi="Arial" w:cs="Arial"/>
          <w:color w:val="000000"/>
          <w:spacing w:val="1"/>
        </w:rPr>
      </w:pPr>
    </w:p>
    <w:p w14:paraId="14530B85" w14:textId="77777777" w:rsidR="00B30DE3" w:rsidRPr="0088338F" w:rsidRDefault="00B30DE3" w:rsidP="00B7224A">
      <w:pPr>
        <w:pStyle w:val="ListParagraph"/>
        <w:numPr>
          <w:ilvl w:val="0"/>
          <w:numId w:val="27"/>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 xml:space="preserve">Dodatky k IFRS 15 „Výnosy zo zmlúv so zákazníkmi“ </w:t>
      </w:r>
      <w:r w:rsidRPr="0088338F">
        <w:rPr>
          <w:rFonts w:ascii="Arial" w:hAnsi="Arial" w:cs="Arial"/>
          <w:color w:val="000000"/>
          <w:spacing w:val="1"/>
          <w:lang w:val="sk-SK"/>
        </w:rPr>
        <w:t>– Vysvetlenie k IFRS 15 „Výnosy zo zmlúv so zákazníkmi“ (s účinnosťou pre účtovné obdobia začínajúce sa 1. januára 2018 alebo neskôr),</w:t>
      </w:r>
    </w:p>
    <w:p w14:paraId="50EDB698" w14:textId="77777777" w:rsidR="00B30DE3" w:rsidRPr="0088338F" w:rsidRDefault="00B30DE3" w:rsidP="000F7EDB">
      <w:pPr>
        <w:jc w:val="both"/>
        <w:rPr>
          <w:rFonts w:ascii="Arial" w:hAnsi="Arial" w:cs="Arial"/>
          <w:color w:val="000000"/>
          <w:spacing w:val="1"/>
        </w:rPr>
      </w:pPr>
    </w:p>
    <w:p w14:paraId="4A82D7C9"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 xml:space="preserve">Dodatky k IAS 7 „Výkazy peňažných tokov“ </w:t>
      </w:r>
      <w:r w:rsidRPr="0088338F">
        <w:rPr>
          <w:rFonts w:ascii="Arial" w:hAnsi="Arial" w:cs="Arial"/>
          <w:color w:val="000000"/>
          <w:spacing w:val="1"/>
          <w:lang w:val="sk-SK"/>
        </w:rPr>
        <w:t>– Iniciatíva zlepšení v oblasti zverejňovaných informácií (s účinnosťou pre účtovné obdobia začínajúce sa 1. januára 2017 alebo neskôr),</w:t>
      </w:r>
    </w:p>
    <w:p w14:paraId="189D0972" w14:textId="77777777" w:rsidR="00B30DE3" w:rsidRPr="0088338F" w:rsidRDefault="00B30DE3" w:rsidP="000F7EDB">
      <w:pPr>
        <w:jc w:val="both"/>
        <w:rPr>
          <w:rFonts w:ascii="Arial" w:hAnsi="Arial" w:cs="Arial"/>
          <w:color w:val="000000"/>
          <w:spacing w:val="1"/>
        </w:rPr>
      </w:pPr>
    </w:p>
    <w:p w14:paraId="5B802292"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 xml:space="preserve">Dodatky k IAS 12 „Dane z príjmov“ </w:t>
      </w:r>
      <w:r w:rsidRPr="0088338F">
        <w:rPr>
          <w:rFonts w:ascii="Arial" w:hAnsi="Arial" w:cs="Arial"/>
          <w:color w:val="000000"/>
          <w:spacing w:val="1"/>
          <w:lang w:val="sk-SK"/>
        </w:rPr>
        <w:t>– Vykázanie odložených daňových pohľadávok z nerealizovaných strát (s účinnosťou pre účtovné obdobia začínajúce sa 1. januára 2017 alebo neskôr),</w:t>
      </w:r>
    </w:p>
    <w:p w14:paraId="5DBB11CE" w14:textId="77777777" w:rsidR="00B30DE3" w:rsidRPr="0088338F" w:rsidRDefault="00B30DE3" w:rsidP="000F7EDB">
      <w:pPr>
        <w:jc w:val="both"/>
        <w:rPr>
          <w:rFonts w:ascii="Arial" w:hAnsi="Arial" w:cs="Arial"/>
          <w:color w:val="000000"/>
          <w:spacing w:val="1"/>
        </w:rPr>
      </w:pPr>
    </w:p>
    <w:p w14:paraId="6CA6F2B6"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Dodatky k IAS 40 „Investície do nehnuteľností“</w:t>
      </w:r>
      <w:r w:rsidRPr="0088338F">
        <w:rPr>
          <w:rFonts w:ascii="Arial" w:hAnsi="Arial" w:cs="Arial"/>
          <w:color w:val="000000"/>
          <w:spacing w:val="1"/>
          <w:lang w:val="sk-SK"/>
        </w:rPr>
        <w:t xml:space="preserve"> – Presuny investícií do nehnuteľností (s účinnosťou pre účtovné obdobia začínajúce sa 1. januára 2018 alebo neskôr),</w:t>
      </w:r>
    </w:p>
    <w:p w14:paraId="5BBA1904" w14:textId="77777777" w:rsidR="00B30DE3" w:rsidRPr="0088338F" w:rsidRDefault="00B30DE3" w:rsidP="000F7EDB">
      <w:pPr>
        <w:jc w:val="both"/>
        <w:rPr>
          <w:rFonts w:ascii="Arial" w:hAnsi="Arial" w:cs="Arial"/>
          <w:color w:val="000000"/>
          <w:spacing w:val="1"/>
        </w:rPr>
      </w:pPr>
    </w:p>
    <w:p w14:paraId="0D5E93AF"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color w:val="000000"/>
          <w:spacing w:val="1"/>
          <w:lang w:val="sk-SK"/>
        </w:rPr>
      </w:pPr>
      <w:r w:rsidRPr="0088338F">
        <w:rPr>
          <w:rFonts w:ascii="Arial" w:hAnsi="Arial" w:cs="Arial"/>
          <w:b/>
          <w:lang w:val="sk-SK"/>
        </w:rPr>
        <w:t>Dodatky k rôznym štandardom „Projekt zvyšovania kvality IFRS (cyklus 2014 – 2016</w:t>
      </w:r>
      <w:r w:rsidRPr="0088338F">
        <w:rPr>
          <w:rFonts w:ascii="Arial" w:hAnsi="Arial" w:cs="Arial"/>
          <w:lang w:val="sk-SK"/>
        </w:rPr>
        <w:t>)</w:t>
      </w:r>
      <w:r w:rsidRPr="0088338F">
        <w:rPr>
          <w:rFonts w:ascii="Arial" w:hAnsi="Arial" w:cs="Arial"/>
          <w:b/>
          <w:lang w:val="sk-SK"/>
        </w:rPr>
        <w:t>“</w:t>
      </w:r>
      <w:r w:rsidRPr="0088338F">
        <w:rPr>
          <w:rFonts w:ascii="Arial" w:hAnsi="Arial" w:cs="Arial"/>
          <w:lang w:val="sk-SK"/>
        </w:rPr>
        <w:t xml:space="preserve"> vyplývajúce z ročného projektu zvyšovania kvality IFRS </w:t>
      </w:r>
      <w:r w:rsidRPr="0088338F">
        <w:rPr>
          <w:rFonts w:ascii="Arial" w:hAnsi="Arial" w:cs="Arial"/>
          <w:lang w:val="sk-SK" w:eastAsia="sk-SK"/>
        </w:rPr>
        <w:t>(IFRS 1, IFRS 12 a IAS 28)</w:t>
      </w:r>
      <w:r w:rsidRPr="0088338F">
        <w:rPr>
          <w:rFonts w:ascii="Arial" w:hAnsi="Arial" w:cs="Arial"/>
          <w:lang w:val="sk-SK"/>
        </w:rPr>
        <w:t>, ktorých cieľom je predovšetkým odstrániť nezrovnalosti a vysvetliť znenie (dodatky k IFRS 12 sa budú vzťahovať na účtovné obdobia začínajúce sa 1. januára 2017 a neskôr a dodatky k IFRS 1 a IAS 28 sa budú vzťahovať na účtovné obdobia začínajúce sa 1. januára 2018 alebo neskôr),</w:t>
      </w:r>
    </w:p>
    <w:p w14:paraId="00546344" w14:textId="77777777" w:rsidR="00B30DE3" w:rsidRPr="0088338F" w:rsidRDefault="00B30DE3" w:rsidP="000F7EDB">
      <w:pPr>
        <w:jc w:val="both"/>
        <w:rPr>
          <w:rFonts w:ascii="Arial" w:hAnsi="Arial" w:cs="Arial"/>
          <w:color w:val="000000"/>
          <w:spacing w:val="1"/>
        </w:rPr>
      </w:pPr>
    </w:p>
    <w:p w14:paraId="4070CE24" w14:textId="77777777" w:rsidR="00B30DE3" w:rsidRPr="0088338F" w:rsidRDefault="00B30DE3" w:rsidP="000F7EDB">
      <w:pPr>
        <w:pStyle w:val="ListParagraph"/>
        <w:numPr>
          <w:ilvl w:val="0"/>
          <w:numId w:val="27"/>
        </w:numPr>
        <w:tabs>
          <w:tab w:val="left" w:pos="567"/>
        </w:tabs>
        <w:ind w:left="567" w:hanging="567"/>
        <w:contextualSpacing/>
        <w:jc w:val="both"/>
        <w:rPr>
          <w:rFonts w:ascii="Arial" w:hAnsi="Arial" w:cs="Arial"/>
          <w:color w:val="000000"/>
          <w:spacing w:val="1"/>
          <w:lang w:val="sk-SK"/>
        </w:rPr>
      </w:pPr>
      <w:r w:rsidRPr="0088338F">
        <w:rPr>
          <w:rFonts w:ascii="Arial" w:hAnsi="Arial" w:cs="Arial"/>
          <w:b/>
          <w:color w:val="000000"/>
          <w:spacing w:val="1"/>
          <w:lang w:val="sk-SK"/>
        </w:rPr>
        <w:t xml:space="preserve">IFRIC 22 „Transakcie v cudzích menách a vopred uhradené protiplnenie“ </w:t>
      </w:r>
      <w:r w:rsidRPr="0088338F">
        <w:rPr>
          <w:rFonts w:ascii="Arial" w:hAnsi="Arial" w:cs="Arial"/>
          <w:color w:val="000000"/>
          <w:spacing w:val="1"/>
          <w:lang w:val="sk-SK"/>
        </w:rPr>
        <w:t>(s účinnosťou pre účtovné obdobia začínajúce sa 1. januára 2018 alebo neskôr).</w:t>
      </w:r>
    </w:p>
    <w:p w14:paraId="42A11BE3" w14:textId="77777777" w:rsidR="00B30DE3" w:rsidRPr="0088338F" w:rsidRDefault="00B30DE3" w:rsidP="000F7EDB">
      <w:pPr>
        <w:jc w:val="both"/>
        <w:rPr>
          <w:rFonts w:ascii="Arial" w:hAnsi="Arial" w:cs="Arial"/>
          <w:color w:val="000000"/>
          <w:spacing w:val="1"/>
          <w:sz w:val="20"/>
        </w:rPr>
      </w:pPr>
    </w:p>
    <w:p w14:paraId="39B7AF67" w14:textId="77777777" w:rsidR="00B30DE3" w:rsidRPr="0088338F" w:rsidRDefault="00B30DE3" w:rsidP="000F7EDB">
      <w:pPr>
        <w:pStyle w:val="NormalWeb"/>
        <w:spacing w:before="0" w:beforeAutospacing="0" w:after="0" w:afterAutospacing="0"/>
        <w:jc w:val="both"/>
        <w:rPr>
          <w:rFonts w:ascii="Arial" w:eastAsia="Times New Roman" w:hAnsi="Arial" w:cs="Arial"/>
          <w:sz w:val="20"/>
          <w:szCs w:val="20"/>
          <w:lang w:val="sk-SK"/>
        </w:rPr>
      </w:pPr>
      <w:r w:rsidRPr="0088338F">
        <w:rPr>
          <w:rFonts w:ascii="Arial" w:eastAsia="Times New Roman" w:hAnsi="Arial" w:cs="Arial"/>
          <w:sz w:val="20"/>
          <w:szCs w:val="20"/>
          <w:lang w:val="sk-SK"/>
        </w:rPr>
        <w:t>Banka očakáva, že prijatie týchto nových štandardov a dodatkov k existujúcim štandardom nebude mať významný vplyv na účtovnú závierku banky v období prvého uplatnenia.</w:t>
      </w:r>
    </w:p>
    <w:p w14:paraId="7FD5D71E" w14:textId="77777777" w:rsidR="00B7224A" w:rsidRPr="0088338F" w:rsidRDefault="00B7224A" w:rsidP="000F7EDB">
      <w:pPr>
        <w:pStyle w:val="NormalWeb"/>
        <w:spacing w:before="0" w:beforeAutospacing="0" w:after="0" w:afterAutospacing="0"/>
        <w:jc w:val="both"/>
        <w:rPr>
          <w:rFonts w:ascii="Arial" w:hAnsi="Arial" w:cs="Arial"/>
          <w:color w:val="000000"/>
          <w:sz w:val="20"/>
          <w:szCs w:val="20"/>
          <w:lang w:val="sk-SK"/>
        </w:rPr>
      </w:pPr>
    </w:p>
    <w:p w14:paraId="56D0D763" w14:textId="77777777" w:rsidR="00B30DE3" w:rsidRPr="0088338F" w:rsidRDefault="00B30DE3" w:rsidP="000F7EDB">
      <w:pPr>
        <w:pStyle w:val="BodyText3"/>
        <w:ind w:right="0"/>
        <w:jc w:val="both"/>
        <w:rPr>
          <w:rFonts w:ascii="Arial" w:hAnsi="Arial" w:cs="Arial"/>
          <w:lang w:val="sk-SK"/>
        </w:rPr>
      </w:pPr>
      <w:r w:rsidRPr="0088338F">
        <w:rPr>
          <w:rFonts w:ascii="Arial" w:hAnsi="Arial" w:cs="Arial"/>
          <w:lang w:val="sk-SK"/>
        </w:rPr>
        <w:t>Účtovanie o zabezpečovacích nástrojoch v súvislosti s portfóliom finančných aktív a záväzkov, ktorého zásady EÚ zatiaľ neprijala, zostáva naďalej neupravené.</w:t>
      </w:r>
    </w:p>
    <w:p w14:paraId="49AAA4AA" w14:textId="77777777" w:rsidR="00B7224A" w:rsidRPr="0088338F" w:rsidRDefault="00B7224A" w:rsidP="000F7EDB">
      <w:pPr>
        <w:pStyle w:val="NormalWeb"/>
        <w:spacing w:before="0" w:beforeAutospacing="0" w:after="0" w:afterAutospacing="0"/>
        <w:jc w:val="both"/>
        <w:rPr>
          <w:rFonts w:ascii="Arial" w:hAnsi="Arial" w:cs="Arial"/>
          <w:sz w:val="20"/>
          <w:szCs w:val="20"/>
          <w:lang w:val="sk-SK"/>
        </w:rPr>
      </w:pPr>
    </w:p>
    <w:p w14:paraId="24E3CA0E" w14:textId="0E966023" w:rsidR="00B30DE3" w:rsidRPr="0088338F" w:rsidRDefault="00B30DE3" w:rsidP="000F7EDB">
      <w:pPr>
        <w:pStyle w:val="NormalWeb"/>
        <w:spacing w:before="0" w:beforeAutospacing="0" w:after="0" w:afterAutospacing="0"/>
        <w:jc w:val="both"/>
        <w:rPr>
          <w:rFonts w:ascii="Arial" w:hAnsi="Arial" w:cs="Arial"/>
          <w:color w:val="FF0000"/>
          <w:sz w:val="20"/>
          <w:szCs w:val="20"/>
          <w:lang w:val="sk-SK"/>
        </w:rPr>
      </w:pPr>
      <w:r w:rsidRPr="0088338F">
        <w:rPr>
          <w:rFonts w:ascii="Arial" w:hAnsi="Arial" w:cs="Arial"/>
          <w:sz w:val="20"/>
          <w:szCs w:val="20"/>
          <w:lang w:val="sk-SK"/>
        </w:rPr>
        <w:t xml:space="preserve">Na základe odhadov banky uplatnenie účtovania o zabezpečovacích nástrojoch v súvislosti s portfóliom finančných aktív alebo záväzkov podľa </w:t>
      </w:r>
      <w:r w:rsidRPr="0088338F">
        <w:rPr>
          <w:rFonts w:ascii="Arial" w:hAnsi="Arial" w:cs="Arial"/>
          <w:b/>
          <w:sz w:val="20"/>
          <w:szCs w:val="20"/>
          <w:lang w:val="sk-SK"/>
        </w:rPr>
        <w:t>IAS 39 „Finančné nástroje: vykazovanie a oceňovanie“</w:t>
      </w:r>
      <w:r w:rsidRPr="0088338F">
        <w:rPr>
          <w:rFonts w:ascii="Arial" w:hAnsi="Arial" w:cs="Arial"/>
          <w:sz w:val="20"/>
          <w:szCs w:val="20"/>
          <w:lang w:val="sk-SK"/>
        </w:rPr>
        <w:t xml:space="preserve"> by nemalo významný vplyv na účtovnú závierku, ak by sa uplatnilo k dátumu zostavenia účtovnej závierky.</w:t>
      </w:r>
      <w:r w:rsidRPr="0088338F">
        <w:rPr>
          <w:rFonts w:ascii="Arial" w:hAnsi="Arial" w:cs="Arial"/>
          <w:color w:val="000000"/>
          <w:sz w:val="20"/>
          <w:szCs w:val="20"/>
          <w:lang w:val="sk-SK"/>
        </w:rPr>
        <w:t xml:space="preserve"> </w:t>
      </w:r>
    </w:p>
    <w:p w14:paraId="1D1EA799" w14:textId="78D3E476" w:rsidR="00246798" w:rsidRPr="0088338F" w:rsidRDefault="00246798">
      <w:pPr>
        <w:rPr>
          <w:rStyle w:val="StyleTimesNewRoman11pt"/>
          <w:rFonts w:ascii="Arial" w:hAnsi="Arial" w:cs="Arial"/>
          <w:b/>
          <w:szCs w:val="20"/>
        </w:rPr>
      </w:pPr>
      <w:bookmarkStart w:id="65" w:name="A02_SC_IFRS_as_EU"/>
      <w:bookmarkEnd w:id="65"/>
    </w:p>
    <w:p w14:paraId="7057F6A1" w14:textId="7B3E3906" w:rsidR="00BB5146" w:rsidRPr="0088338F" w:rsidRDefault="00BB5146" w:rsidP="00BB5146">
      <w:pPr>
        <w:tabs>
          <w:tab w:val="left" w:pos="0"/>
          <w:tab w:val="right" w:pos="4820"/>
          <w:tab w:val="right" w:pos="6521"/>
          <w:tab w:val="right" w:pos="8222"/>
        </w:tabs>
        <w:jc w:val="both"/>
        <w:rPr>
          <w:rStyle w:val="StyleAuto"/>
          <w:rFonts w:ascii="Arial" w:hAnsi="Arial" w:cs="Arial"/>
          <w:sz w:val="20"/>
          <w:szCs w:val="20"/>
          <w:lang w:eastAsia="cs-CZ"/>
        </w:rPr>
      </w:pPr>
      <w:r w:rsidRPr="0088338F">
        <w:rPr>
          <w:rStyle w:val="StyleTimesNewRoman11pt"/>
          <w:rFonts w:ascii="Arial" w:hAnsi="Arial" w:cs="Arial"/>
          <w:b/>
          <w:szCs w:val="20"/>
        </w:rPr>
        <w:t xml:space="preserve">(2.2) </w:t>
      </w:r>
      <w:r w:rsidRPr="0088338F">
        <w:rPr>
          <w:rFonts w:ascii="Arial" w:hAnsi="Arial" w:cs="Arial"/>
          <w:b/>
          <w:sz w:val="20"/>
          <w:szCs w:val="20"/>
        </w:rPr>
        <w:t>Vyhlásenie o zhode</w:t>
      </w:r>
    </w:p>
    <w:p w14:paraId="799D844F" w14:textId="77777777" w:rsidR="00BB5146" w:rsidRPr="0088338F" w:rsidRDefault="00BB5146" w:rsidP="00BB5146">
      <w:pPr>
        <w:jc w:val="both"/>
        <w:rPr>
          <w:rFonts w:ascii="Arial" w:hAnsi="Arial" w:cs="Arial"/>
          <w:sz w:val="20"/>
          <w:szCs w:val="20"/>
        </w:rPr>
      </w:pPr>
      <w:r w:rsidRPr="0088338F">
        <w:rPr>
          <w:rFonts w:ascii="Arial" w:hAnsi="Arial" w:cs="Arial"/>
          <w:sz w:val="20"/>
          <w:szCs w:val="20"/>
        </w:rPr>
        <w:t xml:space="preserve">Zostavenie uvedenej účtovnej závierky v Slovenskej republike je v súlade so zákonom č. 431/2002 Z. z. o účtovníctve v znení neskorších predpisov. Banka pripravuje </w:t>
      </w:r>
      <w:r w:rsidR="00E65A90" w:rsidRPr="0088338F">
        <w:rPr>
          <w:rFonts w:ascii="Arial" w:hAnsi="Arial" w:cs="Arial"/>
          <w:sz w:val="20"/>
          <w:szCs w:val="20"/>
        </w:rPr>
        <w:t>účtovnú závierku</w:t>
      </w:r>
      <w:r w:rsidR="00164755" w:rsidRPr="0088338F">
        <w:rPr>
          <w:rFonts w:ascii="Arial" w:hAnsi="Arial" w:cs="Arial"/>
          <w:sz w:val="20"/>
          <w:szCs w:val="20"/>
        </w:rPr>
        <w:t xml:space="preserve"> </w:t>
      </w:r>
      <w:r w:rsidRPr="0088338F">
        <w:rPr>
          <w:rFonts w:ascii="Arial" w:hAnsi="Arial" w:cs="Arial"/>
          <w:sz w:val="20"/>
          <w:szCs w:val="20"/>
        </w:rPr>
        <w:t>a výročnú správu podľa osobitných predpisov – nariadenia Európskeho parlamentu a rady (ES) 1606/2002 o uplatňovaní Medzinárodných účtovných štandardov (IFRS).</w:t>
      </w:r>
    </w:p>
    <w:p w14:paraId="42E7B648" w14:textId="77777777" w:rsidR="008E6838" w:rsidRPr="0088338F" w:rsidRDefault="008E6838">
      <w:pPr>
        <w:rPr>
          <w:rFonts w:ascii="Arial" w:hAnsi="Arial" w:cs="Arial"/>
          <w:sz w:val="20"/>
          <w:szCs w:val="20"/>
        </w:rPr>
      </w:pPr>
      <w:r w:rsidRPr="0088338F">
        <w:rPr>
          <w:rFonts w:ascii="Arial" w:hAnsi="Arial" w:cs="Arial"/>
          <w:sz w:val="20"/>
          <w:szCs w:val="20"/>
        </w:rPr>
        <w:br w:type="page"/>
      </w:r>
    </w:p>
    <w:p w14:paraId="62BB7876" w14:textId="34E7FD28" w:rsidR="00377E94" w:rsidRPr="0088338F" w:rsidRDefault="00377E94" w:rsidP="00BB5146">
      <w:pPr>
        <w:jc w:val="both"/>
        <w:rPr>
          <w:rFonts w:ascii="Arial" w:hAnsi="Arial" w:cs="Arial"/>
          <w:sz w:val="20"/>
          <w:szCs w:val="20"/>
        </w:rPr>
      </w:pPr>
      <w:r w:rsidRPr="0088338F">
        <w:rPr>
          <w:rFonts w:ascii="Arial" w:hAnsi="Arial" w:cs="Arial"/>
          <w:sz w:val="20"/>
          <w:szCs w:val="20"/>
        </w:rPr>
        <w:lastRenderedPageBreak/>
        <w:t xml:space="preserve">V zmysle </w:t>
      </w:r>
      <w:r w:rsidR="003C5970" w:rsidRPr="0088338F">
        <w:rPr>
          <w:rFonts w:ascii="Arial" w:hAnsi="Arial" w:cs="Arial"/>
          <w:sz w:val="20"/>
          <w:szCs w:val="20"/>
        </w:rPr>
        <w:t xml:space="preserve">§ </w:t>
      </w:r>
      <w:r w:rsidRPr="0088338F">
        <w:rPr>
          <w:rFonts w:ascii="Arial" w:hAnsi="Arial" w:cs="Arial"/>
          <w:sz w:val="20"/>
          <w:szCs w:val="20"/>
        </w:rPr>
        <w:t>22 odsek 12 zákona č. 431/2002 Z. z. o účtovníctve v znení neskorších predpisov banka nezostavuje konsolidovanú účtovnú závierku za rok končiaci sa 31. decembra 201</w:t>
      </w:r>
      <w:r w:rsidR="003C0667" w:rsidRPr="0088338F">
        <w:rPr>
          <w:rFonts w:ascii="Arial" w:hAnsi="Arial" w:cs="Arial"/>
          <w:sz w:val="20"/>
          <w:szCs w:val="20"/>
        </w:rPr>
        <w:t>6</w:t>
      </w:r>
      <w:r w:rsidRPr="0088338F">
        <w:rPr>
          <w:rFonts w:ascii="Arial" w:hAnsi="Arial" w:cs="Arial"/>
          <w:sz w:val="20"/>
          <w:szCs w:val="20"/>
        </w:rPr>
        <w:t xml:space="preserve">, nakoľko dcérska spoločnosť Privatfin, s.r.o. nemá významný vplyv na konsolidovaný celok </w:t>
      </w:r>
      <w:r w:rsidR="007612F4" w:rsidRPr="0088338F">
        <w:rPr>
          <w:rFonts w:ascii="Arial" w:hAnsi="Arial" w:cs="Arial"/>
          <w:sz w:val="20"/>
          <w:szCs w:val="20"/>
        </w:rPr>
        <w:t>Privatbanky, a.s.</w:t>
      </w:r>
      <w:r w:rsidRPr="0088338F">
        <w:rPr>
          <w:rFonts w:ascii="Arial" w:hAnsi="Arial" w:cs="Arial"/>
          <w:sz w:val="20"/>
          <w:szCs w:val="20"/>
        </w:rPr>
        <w:t xml:space="preserve"> Zostavením len individuálnej účtovnej závierky banky sa významne neovplyvnil úsudok o finančnej situácii, nákladoch, výnosoch a výsledku hospodárenia za konsolidovaný celok Privatbanky.</w:t>
      </w:r>
    </w:p>
    <w:p w14:paraId="4D092FEB" w14:textId="77777777" w:rsidR="00BE51EE" w:rsidRPr="0088338F" w:rsidRDefault="00BE51EE" w:rsidP="00BB5146">
      <w:pPr>
        <w:jc w:val="both"/>
        <w:rPr>
          <w:rFonts w:ascii="Arial" w:hAnsi="Arial" w:cs="Arial"/>
          <w:sz w:val="20"/>
          <w:szCs w:val="20"/>
        </w:rPr>
      </w:pPr>
    </w:p>
    <w:p w14:paraId="7480172B" w14:textId="5F34EFE3" w:rsidR="00BB5146" w:rsidRPr="0088338F" w:rsidRDefault="000818EA" w:rsidP="00BB5146">
      <w:pPr>
        <w:jc w:val="both"/>
        <w:rPr>
          <w:rFonts w:ascii="Arial" w:hAnsi="Arial" w:cs="Arial"/>
          <w:sz w:val="20"/>
          <w:szCs w:val="20"/>
        </w:rPr>
      </w:pPr>
      <w:r w:rsidRPr="0088338F">
        <w:rPr>
          <w:rFonts w:ascii="Arial" w:hAnsi="Arial" w:cs="Arial"/>
          <w:sz w:val="20"/>
          <w:szCs w:val="20"/>
        </w:rPr>
        <w:t>Ú</w:t>
      </w:r>
      <w:r w:rsidR="00BB5146" w:rsidRPr="0088338F">
        <w:rPr>
          <w:rFonts w:ascii="Arial" w:hAnsi="Arial" w:cs="Arial"/>
          <w:sz w:val="20"/>
          <w:szCs w:val="20"/>
        </w:rPr>
        <w:t>čtovn</w:t>
      </w:r>
      <w:r w:rsidR="008242B1" w:rsidRPr="0088338F">
        <w:rPr>
          <w:rFonts w:ascii="Arial" w:hAnsi="Arial" w:cs="Arial"/>
          <w:sz w:val="20"/>
          <w:szCs w:val="20"/>
        </w:rPr>
        <w:t>ú</w:t>
      </w:r>
      <w:r w:rsidR="00BB5146" w:rsidRPr="0088338F">
        <w:rPr>
          <w:rFonts w:ascii="Arial" w:hAnsi="Arial" w:cs="Arial"/>
          <w:sz w:val="20"/>
          <w:szCs w:val="20"/>
        </w:rPr>
        <w:t xml:space="preserve"> závierk</w:t>
      </w:r>
      <w:r w:rsidR="008242B1" w:rsidRPr="0088338F">
        <w:rPr>
          <w:rFonts w:ascii="Arial" w:hAnsi="Arial" w:cs="Arial"/>
          <w:sz w:val="20"/>
          <w:szCs w:val="20"/>
        </w:rPr>
        <w:t>u</w:t>
      </w:r>
      <w:r w:rsidR="00BB5146" w:rsidRPr="0088338F">
        <w:rPr>
          <w:rFonts w:ascii="Arial" w:hAnsi="Arial" w:cs="Arial"/>
          <w:sz w:val="20"/>
          <w:szCs w:val="20"/>
        </w:rPr>
        <w:t xml:space="preserve"> banky zostaven</w:t>
      </w:r>
      <w:r w:rsidR="008242B1" w:rsidRPr="0088338F">
        <w:rPr>
          <w:rFonts w:ascii="Arial" w:hAnsi="Arial" w:cs="Arial"/>
          <w:sz w:val="20"/>
          <w:szCs w:val="20"/>
        </w:rPr>
        <w:t>ú</w:t>
      </w:r>
      <w:r w:rsidR="00BB5146" w:rsidRPr="0088338F">
        <w:rPr>
          <w:rFonts w:ascii="Arial" w:hAnsi="Arial" w:cs="Arial"/>
          <w:sz w:val="20"/>
          <w:szCs w:val="20"/>
        </w:rPr>
        <w:t xml:space="preserve"> v súlade s IFRS k 31.</w:t>
      </w:r>
      <w:r w:rsidR="004D6BD5" w:rsidRPr="0088338F">
        <w:rPr>
          <w:rFonts w:ascii="Arial" w:hAnsi="Arial" w:cs="Arial"/>
          <w:sz w:val="20"/>
          <w:szCs w:val="20"/>
        </w:rPr>
        <w:t xml:space="preserve"> decembru </w:t>
      </w:r>
      <w:r w:rsidR="00BB5146" w:rsidRPr="0088338F">
        <w:rPr>
          <w:rFonts w:ascii="Arial" w:hAnsi="Arial" w:cs="Arial"/>
          <w:sz w:val="20"/>
          <w:szCs w:val="20"/>
        </w:rPr>
        <w:t>20</w:t>
      </w:r>
      <w:r w:rsidR="005E320E" w:rsidRPr="0088338F">
        <w:rPr>
          <w:rFonts w:ascii="Arial" w:hAnsi="Arial" w:cs="Arial"/>
          <w:sz w:val="20"/>
          <w:szCs w:val="20"/>
        </w:rPr>
        <w:t>1</w:t>
      </w:r>
      <w:r w:rsidR="003C0667" w:rsidRPr="0088338F">
        <w:rPr>
          <w:rFonts w:ascii="Arial" w:hAnsi="Arial" w:cs="Arial"/>
          <w:sz w:val="20"/>
          <w:szCs w:val="20"/>
        </w:rPr>
        <w:t>5</w:t>
      </w:r>
      <w:r w:rsidR="00BB5146" w:rsidRPr="0088338F">
        <w:rPr>
          <w:rFonts w:ascii="Arial" w:hAnsi="Arial" w:cs="Arial"/>
          <w:sz w:val="20"/>
          <w:szCs w:val="20"/>
        </w:rPr>
        <w:t xml:space="preserve"> schvál</w:t>
      </w:r>
      <w:r w:rsidR="008242B1" w:rsidRPr="0088338F">
        <w:rPr>
          <w:rFonts w:ascii="Arial" w:hAnsi="Arial" w:cs="Arial"/>
          <w:sz w:val="20"/>
          <w:szCs w:val="20"/>
        </w:rPr>
        <w:t>ilo</w:t>
      </w:r>
      <w:r w:rsidR="00BB5146" w:rsidRPr="0088338F">
        <w:rPr>
          <w:rFonts w:ascii="Arial" w:hAnsi="Arial" w:cs="Arial"/>
          <w:sz w:val="20"/>
          <w:szCs w:val="20"/>
        </w:rPr>
        <w:t xml:space="preserve"> valn</w:t>
      </w:r>
      <w:r w:rsidR="008242B1" w:rsidRPr="0088338F">
        <w:rPr>
          <w:rFonts w:ascii="Arial" w:hAnsi="Arial" w:cs="Arial"/>
          <w:sz w:val="20"/>
          <w:szCs w:val="20"/>
        </w:rPr>
        <w:t>é</w:t>
      </w:r>
      <w:r w:rsidR="00BB5146" w:rsidRPr="0088338F">
        <w:rPr>
          <w:rFonts w:ascii="Arial" w:hAnsi="Arial" w:cs="Arial"/>
          <w:sz w:val="20"/>
          <w:szCs w:val="20"/>
        </w:rPr>
        <w:t xml:space="preserve"> zhromažden</w:t>
      </w:r>
      <w:r w:rsidR="008242B1" w:rsidRPr="0088338F">
        <w:rPr>
          <w:rFonts w:ascii="Arial" w:hAnsi="Arial" w:cs="Arial"/>
          <w:sz w:val="20"/>
          <w:szCs w:val="20"/>
        </w:rPr>
        <w:t>ie</w:t>
      </w:r>
      <w:r w:rsidR="00BB5146" w:rsidRPr="0088338F">
        <w:rPr>
          <w:rFonts w:ascii="Arial" w:hAnsi="Arial" w:cs="Arial"/>
          <w:sz w:val="20"/>
          <w:szCs w:val="20"/>
        </w:rPr>
        <w:t xml:space="preserve"> banky dňa </w:t>
      </w:r>
      <w:r w:rsidR="005E320E" w:rsidRPr="0088338F">
        <w:rPr>
          <w:rFonts w:ascii="Arial" w:hAnsi="Arial" w:cs="Arial"/>
          <w:sz w:val="20"/>
          <w:szCs w:val="20"/>
        </w:rPr>
        <w:t>2</w:t>
      </w:r>
      <w:r w:rsidR="003C0667" w:rsidRPr="0088338F">
        <w:rPr>
          <w:rFonts w:ascii="Arial" w:hAnsi="Arial" w:cs="Arial"/>
          <w:sz w:val="20"/>
          <w:szCs w:val="20"/>
        </w:rPr>
        <w:t>4</w:t>
      </w:r>
      <w:r w:rsidR="00BB5146" w:rsidRPr="0088338F">
        <w:rPr>
          <w:rFonts w:ascii="Arial" w:hAnsi="Arial" w:cs="Arial"/>
          <w:sz w:val="20"/>
          <w:szCs w:val="20"/>
        </w:rPr>
        <w:t xml:space="preserve">. </w:t>
      </w:r>
      <w:r w:rsidR="00BF741C" w:rsidRPr="0088338F">
        <w:rPr>
          <w:rFonts w:ascii="Arial" w:hAnsi="Arial" w:cs="Arial"/>
          <w:sz w:val="20"/>
          <w:szCs w:val="20"/>
        </w:rPr>
        <w:t>marca</w:t>
      </w:r>
      <w:r w:rsidR="00BB5146" w:rsidRPr="0088338F">
        <w:rPr>
          <w:rFonts w:ascii="Arial" w:hAnsi="Arial" w:cs="Arial"/>
          <w:sz w:val="20"/>
          <w:szCs w:val="20"/>
        </w:rPr>
        <w:t xml:space="preserve"> 20</w:t>
      </w:r>
      <w:r w:rsidR="00FA13ED" w:rsidRPr="0088338F">
        <w:rPr>
          <w:rFonts w:ascii="Arial" w:hAnsi="Arial" w:cs="Arial"/>
          <w:sz w:val="20"/>
          <w:szCs w:val="20"/>
        </w:rPr>
        <w:t>1</w:t>
      </w:r>
      <w:r w:rsidR="003C0667" w:rsidRPr="0088338F">
        <w:rPr>
          <w:rFonts w:ascii="Arial" w:hAnsi="Arial" w:cs="Arial"/>
          <w:sz w:val="20"/>
          <w:szCs w:val="20"/>
        </w:rPr>
        <w:t>6</w:t>
      </w:r>
      <w:r w:rsidR="00BB5146" w:rsidRPr="0088338F">
        <w:rPr>
          <w:rFonts w:ascii="Arial" w:hAnsi="Arial" w:cs="Arial"/>
          <w:sz w:val="20"/>
          <w:szCs w:val="20"/>
        </w:rPr>
        <w:t>.</w:t>
      </w:r>
    </w:p>
    <w:p w14:paraId="7105D3CA" w14:textId="77777777" w:rsidR="00DD665D" w:rsidRPr="0088338F" w:rsidRDefault="00DD665D" w:rsidP="00BB5146">
      <w:pPr>
        <w:jc w:val="both"/>
        <w:rPr>
          <w:rFonts w:ascii="Arial" w:hAnsi="Arial" w:cs="Arial"/>
          <w:sz w:val="20"/>
          <w:szCs w:val="20"/>
        </w:rPr>
      </w:pPr>
    </w:p>
    <w:p w14:paraId="079AE04D" w14:textId="77777777" w:rsidR="00DD665D" w:rsidRPr="0088338F" w:rsidRDefault="00DD665D" w:rsidP="00BB5146">
      <w:pPr>
        <w:jc w:val="both"/>
        <w:rPr>
          <w:rFonts w:ascii="Arial" w:hAnsi="Arial" w:cs="Arial"/>
          <w:sz w:val="20"/>
          <w:szCs w:val="20"/>
        </w:rPr>
      </w:pPr>
      <w:r w:rsidRPr="0088338F">
        <w:rPr>
          <w:rFonts w:ascii="Arial" w:hAnsi="Arial" w:cs="Arial"/>
          <w:sz w:val="20"/>
          <w:szCs w:val="20"/>
        </w:rPr>
        <w:t>Účtovná závierka je zostavená pre všeobecné použitie. Informácie v nej uvedené nie je možné použiť pre žiadne špecifické účely alebo posúdenie jednotlivých transakcií. Čitatelia účtovnej závierky by sa pri rozhodovaní nemali spoliehať na túto účtovnú závierku ako jediný zdroj informácií.</w:t>
      </w:r>
    </w:p>
    <w:p w14:paraId="5B9B9D72" w14:textId="77777777" w:rsidR="00BB5146" w:rsidRPr="0088338F" w:rsidRDefault="00BB5146" w:rsidP="00BB5146">
      <w:pPr>
        <w:jc w:val="both"/>
        <w:rPr>
          <w:rFonts w:ascii="Arial" w:hAnsi="Arial" w:cs="Arial"/>
          <w:sz w:val="20"/>
          <w:szCs w:val="20"/>
        </w:rPr>
      </w:pPr>
    </w:p>
    <w:p w14:paraId="7BF41672" w14:textId="77777777" w:rsidR="00BB5146" w:rsidRPr="0088338F" w:rsidRDefault="00BB5146" w:rsidP="00BB5146">
      <w:pPr>
        <w:tabs>
          <w:tab w:val="left" w:pos="0"/>
          <w:tab w:val="right" w:pos="4820"/>
          <w:tab w:val="right" w:pos="6521"/>
          <w:tab w:val="right" w:pos="8222"/>
        </w:tabs>
        <w:jc w:val="both"/>
        <w:rPr>
          <w:rStyle w:val="StyleTimesNewRoman11pt"/>
          <w:rFonts w:ascii="Arial" w:hAnsi="Arial" w:cs="Arial"/>
          <w:b/>
        </w:rPr>
      </w:pPr>
      <w:r w:rsidRPr="0088338F">
        <w:rPr>
          <w:rStyle w:val="StyleTimesNewRoman11pt"/>
          <w:rFonts w:ascii="Arial" w:hAnsi="Arial" w:cs="Arial"/>
          <w:b/>
          <w:szCs w:val="20"/>
        </w:rPr>
        <w:t xml:space="preserve">(2.3) </w:t>
      </w:r>
      <w:r w:rsidRPr="0088338F">
        <w:rPr>
          <w:rStyle w:val="StyleTimesNewRoman11pt"/>
          <w:rFonts w:ascii="Arial" w:hAnsi="Arial" w:cs="Arial"/>
          <w:b/>
        </w:rPr>
        <w:t>Východiská zostavenia účtovnej závierky</w:t>
      </w:r>
    </w:p>
    <w:p w14:paraId="5E0E132A" w14:textId="77777777" w:rsidR="00302489" w:rsidRPr="0088338F" w:rsidRDefault="00302489" w:rsidP="00BB5146">
      <w:pPr>
        <w:jc w:val="both"/>
        <w:rPr>
          <w:rFonts w:ascii="Arial" w:hAnsi="Arial" w:cs="Arial"/>
          <w:sz w:val="20"/>
          <w:szCs w:val="20"/>
        </w:rPr>
      </w:pPr>
      <w:r w:rsidRPr="0088338F">
        <w:rPr>
          <w:rFonts w:ascii="Arial" w:hAnsi="Arial" w:cs="Arial"/>
          <w:sz w:val="20"/>
        </w:rPr>
        <w:t>Všetky údaje sú uvedené v eurách (EUR</w:t>
      </w:r>
      <w:r w:rsidR="00452EFC" w:rsidRPr="0088338F">
        <w:rPr>
          <w:rFonts w:ascii="Arial" w:hAnsi="Arial" w:cs="Arial"/>
          <w:sz w:val="20"/>
        </w:rPr>
        <w:t>, €</w:t>
      </w:r>
      <w:r w:rsidRPr="0088338F">
        <w:rPr>
          <w:rFonts w:ascii="Arial" w:hAnsi="Arial" w:cs="Arial"/>
          <w:sz w:val="20"/>
        </w:rPr>
        <w:t>). Mernou jednotkou sú tisíce EUR, ak nie je uvedené inak. Údaje uvedené v zátvorkách predstavujú záporné hodnoty.</w:t>
      </w:r>
    </w:p>
    <w:p w14:paraId="5D0226EB" w14:textId="77777777" w:rsidR="00302489" w:rsidRPr="0088338F" w:rsidRDefault="00302489" w:rsidP="00BB5146">
      <w:pPr>
        <w:jc w:val="both"/>
        <w:rPr>
          <w:rFonts w:ascii="Arial" w:hAnsi="Arial" w:cs="Arial"/>
          <w:sz w:val="20"/>
          <w:szCs w:val="20"/>
        </w:rPr>
      </w:pPr>
    </w:p>
    <w:p w14:paraId="369BFE75" w14:textId="77777777" w:rsidR="00BB5146" w:rsidRPr="0088338F" w:rsidRDefault="00BB5146" w:rsidP="00BB5146">
      <w:pPr>
        <w:jc w:val="both"/>
        <w:rPr>
          <w:rFonts w:ascii="Arial" w:hAnsi="Arial" w:cs="Arial"/>
          <w:sz w:val="20"/>
          <w:szCs w:val="20"/>
        </w:rPr>
      </w:pPr>
      <w:r w:rsidRPr="0088338F">
        <w:rPr>
          <w:rFonts w:ascii="Arial" w:hAnsi="Arial" w:cs="Arial"/>
          <w:sz w:val="20"/>
          <w:szCs w:val="20"/>
        </w:rPr>
        <w:t>Účtovná závierka je vypracovaná na základe historických obstarávacích cien po zohľadnení precenenia určitých finančných investícií, finančného majetku, finančných záväzkov a derivátov na reálnu hodnotu.</w:t>
      </w:r>
    </w:p>
    <w:p w14:paraId="197D965D" w14:textId="77777777" w:rsidR="00BB5146" w:rsidRPr="0088338F" w:rsidRDefault="00BB5146" w:rsidP="00BB5146">
      <w:pPr>
        <w:jc w:val="both"/>
        <w:rPr>
          <w:rFonts w:ascii="Arial" w:hAnsi="Arial" w:cs="Arial"/>
          <w:sz w:val="20"/>
          <w:szCs w:val="20"/>
        </w:rPr>
      </w:pPr>
    </w:p>
    <w:p w14:paraId="01FE28AF" w14:textId="77777777" w:rsidR="00BB5146" w:rsidRPr="0088338F" w:rsidRDefault="00BB5146" w:rsidP="00BB5146">
      <w:pPr>
        <w:jc w:val="both"/>
        <w:rPr>
          <w:rFonts w:ascii="Arial" w:hAnsi="Arial" w:cs="Arial"/>
          <w:sz w:val="20"/>
          <w:szCs w:val="20"/>
        </w:rPr>
      </w:pPr>
      <w:r w:rsidRPr="0088338F">
        <w:rPr>
          <w:rFonts w:ascii="Arial" w:hAnsi="Arial" w:cs="Arial"/>
          <w:sz w:val="20"/>
          <w:szCs w:val="20"/>
        </w:rPr>
        <w:t>Finančný majetok vykazovaný v reálnych hodnotách cez výsledovku a finančný majetok k dispozícii na predaj je oceňovaný v reálnej hodnote. Iný finančný a nefinančný majetok a záväzky sú oceňované na báze amortizovanej hodnoty alebo historickej obstarávacej ceny zníženej o opravné položky.</w:t>
      </w:r>
    </w:p>
    <w:p w14:paraId="5A8D12BD" w14:textId="77777777" w:rsidR="00246798" w:rsidRPr="0088338F" w:rsidRDefault="00246798" w:rsidP="00BB5146">
      <w:pPr>
        <w:jc w:val="both"/>
        <w:rPr>
          <w:rFonts w:ascii="Arial" w:hAnsi="Arial" w:cs="Arial"/>
          <w:sz w:val="20"/>
          <w:szCs w:val="20"/>
        </w:rPr>
      </w:pPr>
    </w:p>
    <w:p w14:paraId="0E6B6C36" w14:textId="3C105B58" w:rsidR="00BB5146" w:rsidRPr="0088338F" w:rsidRDefault="00BB5146" w:rsidP="00BB5146">
      <w:pPr>
        <w:jc w:val="both"/>
        <w:rPr>
          <w:rFonts w:ascii="Arial" w:hAnsi="Arial" w:cs="Arial"/>
          <w:sz w:val="20"/>
          <w:szCs w:val="20"/>
        </w:rPr>
      </w:pPr>
      <w:r w:rsidRPr="0088338F">
        <w:rPr>
          <w:rFonts w:ascii="Arial" w:hAnsi="Arial" w:cs="Arial"/>
          <w:sz w:val="20"/>
          <w:szCs w:val="20"/>
        </w:rPr>
        <w:t>Táto účtovná závierka bola zostavená na základe predpokladu, že banka bude schopná pokračovať v dohľadnej budúcnosti v nepretržitej činnosti.</w:t>
      </w:r>
    </w:p>
    <w:p w14:paraId="4A2314A8" w14:textId="77777777" w:rsidR="00BB5146" w:rsidRPr="0088338F" w:rsidRDefault="00BB5146" w:rsidP="00BB5146">
      <w:pPr>
        <w:jc w:val="both"/>
        <w:rPr>
          <w:rFonts w:ascii="Arial" w:hAnsi="Arial" w:cs="Arial"/>
          <w:sz w:val="20"/>
          <w:szCs w:val="20"/>
        </w:rPr>
      </w:pPr>
    </w:p>
    <w:p w14:paraId="3EDC54FC" w14:textId="77777777" w:rsidR="00BB5146" w:rsidRPr="0088338F" w:rsidRDefault="00BB5146" w:rsidP="00BB5146">
      <w:pPr>
        <w:jc w:val="both"/>
        <w:rPr>
          <w:rFonts w:ascii="Arial" w:hAnsi="Arial" w:cs="Arial"/>
          <w:sz w:val="20"/>
          <w:szCs w:val="20"/>
        </w:rPr>
      </w:pPr>
      <w:r w:rsidRPr="0088338F">
        <w:rPr>
          <w:rFonts w:ascii="Arial" w:hAnsi="Arial" w:cs="Arial"/>
          <w:sz w:val="20"/>
          <w:szCs w:val="20"/>
        </w:rPr>
        <w:t xml:space="preserve">Banka má rozhodujúci podiel v dcérskej spoločnosti uvedenej v pozn. </w:t>
      </w:r>
      <w:r w:rsidR="007D7F9B" w:rsidRPr="0088338F">
        <w:rPr>
          <w:rFonts w:ascii="Arial" w:hAnsi="Arial" w:cs="Arial"/>
          <w:sz w:val="20"/>
          <w:szCs w:val="20"/>
        </w:rPr>
        <w:t>11</w:t>
      </w:r>
      <w:r w:rsidRPr="0088338F">
        <w:rPr>
          <w:rFonts w:ascii="Arial" w:hAnsi="Arial" w:cs="Arial"/>
          <w:sz w:val="20"/>
          <w:szCs w:val="20"/>
        </w:rPr>
        <w:t>. V tejto účtovnej závierke sa dcérska spoločnosť účtuje v obstarávacej cene po zohľadnení strát zo znehodnotenia.</w:t>
      </w:r>
    </w:p>
    <w:p w14:paraId="25B52D3A" w14:textId="77777777" w:rsidR="005E320E" w:rsidRPr="0088338F" w:rsidRDefault="005E320E" w:rsidP="00BB5146">
      <w:pPr>
        <w:jc w:val="both"/>
        <w:rPr>
          <w:rFonts w:ascii="Arial" w:hAnsi="Arial" w:cs="Arial"/>
          <w:sz w:val="20"/>
          <w:szCs w:val="20"/>
        </w:rPr>
      </w:pPr>
    </w:p>
    <w:p w14:paraId="3294D034" w14:textId="77777777" w:rsidR="00A17B0F" w:rsidRPr="0088338F" w:rsidRDefault="00A17B0F" w:rsidP="00A17B0F">
      <w:pPr>
        <w:tabs>
          <w:tab w:val="left" w:pos="0"/>
          <w:tab w:val="right" w:pos="4820"/>
          <w:tab w:val="right" w:pos="6521"/>
          <w:tab w:val="right" w:pos="8222"/>
        </w:tabs>
        <w:jc w:val="both"/>
        <w:rPr>
          <w:rStyle w:val="StyleTimesNewRoman11pt"/>
          <w:rFonts w:ascii="Arial" w:hAnsi="Arial" w:cs="Arial"/>
          <w:b/>
          <w:szCs w:val="20"/>
        </w:rPr>
      </w:pPr>
      <w:r w:rsidRPr="0088338F">
        <w:rPr>
          <w:rStyle w:val="StyleTimesNewRoman11pt"/>
          <w:rFonts w:ascii="Arial" w:hAnsi="Arial" w:cs="Arial"/>
          <w:b/>
          <w:szCs w:val="20"/>
        </w:rPr>
        <w:t>(2.</w:t>
      </w:r>
      <w:r w:rsidR="00BB5146" w:rsidRPr="0088338F">
        <w:rPr>
          <w:rStyle w:val="StyleTimesNewRoman11pt"/>
          <w:rFonts w:ascii="Arial" w:hAnsi="Arial" w:cs="Arial"/>
          <w:b/>
          <w:szCs w:val="20"/>
        </w:rPr>
        <w:t>4</w:t>
      </w:r>
      <w:r w:rsidRPr="0088338F">
        <w:rPr>
          <w:rStyle w:val="StyleTimesNewRoman11pt"/>
          <w:rFonts w:ascii="Arial" w:hAnsi="Arial" w:cs="Arial"/>
          <w:b/>
          <w:szCs w:val="20"/>
        </w:rPr>
        <w:t>) Dôležité účtovné posúdenia a odhady</w:t>
      </w:r>
    </w:p>
    <w:p w14:paraId="12043555" w14:textId="77777777" w:rsidR="00BB5146" w:rsidRPr="0088338F" w:rsidRDefault="00BB5146" w:rsidP="00BB5146">
      <w:pPr>
        <w:jc w:val="both"/>
        <w:rPr>
          <w:rFonts w:ascii="Arial" w:hAnsi="Arial" w:cs="Arial"/>
          <w:sz w:val="20"/>
          <w:szCs w:val="20"/>
        </w:rPr>
      </w:pPr>
      <w:r w:rsidRPr="0088338F">
        <w:rPr>
          <w:rFonts w:ascii="Arial" w:hAnsi="Arial" w:cs="Arial"/>
          <w:sz w:val="20"/>
          <w:szCs w:val="20"/>
        </w:rPr>
        <w:t>Zostavenie účtovnej závierky v súlade s IFRS vyžaduje od vedenia banky odhady a predpoklady, ktoré majú vplyv na vykázané hodnoty aktív a pasív, na vykázanie podmienených aktív a pasív k dátumu účtovnej závierky a na vykázanie výnosov a nákladov za uvedené obdobie. Skutočné výsledky sa môžu od týchto odhadov líšiť a budúce zmeny ekonomických podmienok, podnikateľských stratégií, regulačných opatrení, účtovných pravidiel, resp. iných faktorov, môžu zapríčiniť zmenu odhadov, čo následne môže mať významný vplyv na budúcu vykázanú finančnú situáciu a výsledky hospodárenia.</w:t>
      </w:r>
    </w:p>
    <w:p w14:paraId="467EBA92" w14:textId="77777777" w:rsidR="00BB5146" w:rsidRPr="0088338F" w:rsidRDefault="00BB5146" w:rsidP="00BB5146">
      <w:pPr>
        <w:jc w:val="both"/>
        <w:rPr>
          <w:rFonts w:ascii="Arial" w:hAnsi="Arial" w:cs="Arial"/>
          <w:sz w:val="20"/>
          <w:szCs w:val="20"/>
        </w:rPr>
      </w:pPr>
    </w:p>
    <w:p w14:paraId="06C851D4" w14:textId="77777777" w:rsidR="00BB5146" w:rsidRPr="0088338F" w:rsidRDefault="00BB5146" w:rsidP="00BB5146">
      <w:pPr>
        <w:jc w:val="both"/>
        <w:rPr>
          <w:rFonts w:ascii="Arial" w:hAnsi="Arial" w:cs="Arial"/>
          <w:sz w:val="20"/>
          <w:szCs w:val="20"/>
        </w:rPr>
      </w:pPr>
      <w:r w:rsidRPr="0088338F">
        <w:rPr>
          <w:rFonts w:ascii="Arial" w:hAnsi="Arial" w:cs="Arial"/>
          <w:sz w:val="20"/>
          <w:szCs w:val="20"/>
        </w:rPr>
        <w:t>Významné oblasti, ktoré si vyžadujú posúdenie</w:t>
      </w:r>
      <w:r w:rsidR="007612F4" w:rsidRPr="0088338F">
        <w:rPr>
          <w:rFonts w:ascii="Arial" w:hAnsi="Arial" w:cs="Arial"/>
          <w:sz w:val="20"/>
          <w:szCs w:val="20"/>
        </w:rPr>
        <w:t xml:space="preserve"> a odhady</w:t>
      </w:r>
      <w:r w:rsidRPr="0088338F">
        <w:rPr>
          <w:rFonts w:ascii="Arial" w:hAnsi="Arial" w:cs="Arial"/>
          <w:sz w:val="20"/>
          <w:szCs w:val="20"/>
        </w:rPr>
        <w:t>:</w:t>
      </w:r>
    </w:p>
    <w:p w14:paraId="7D5272CF" w14:textId="4E48BE53" w:rsidR="008544EC" w:rsidRPr="0088338F" w:rsidRDefault="008544EC">
      <w:pPr>
        <w:rPr>
          <w:rFonts w:ascii="Arial" w:hAnsi="Arial" w:cs="Arial"/>
          <w:sz w:val="20"/>
          <w:szCs w:val="20"/>
        </w:rPr>
      </w:pPr>
    </w:p>
    <w:p w14:paraId="38E15352" w14:textId="72673B14" w:rsidR="00BB5146" w:rsidRPr="0088338F" w:rsidRDefault="00C56DF3" w:rsidP="002B3BCE">
      <w:pPr>
        <w:numPr>
          <w:ilvl w:val="0"/>
          <w:numId w:val="22"/>
        </w:numPr>
        <w:tabs>
          <w:tab w:val="clear" w:pos="927"/>
          <w:tab w:val="num" w:pos="567"/>
        </w:tabs>
        <w:autoSpaceDE w:val="0"/>
        <w:autoSpaceDN w:val="0"/>
        <w:adjustRightInd w:val="0"/>
        <w:ind w:left="567" w:hanging="567"/>
        <w:jc w:val="both"/>
        <w:rPr>
          <w:rFonts w:ascii="Arial" w:hAnsi="Arial" w:cs="Arial"/>
          <w:sz w:val="20"/>
          <w:szCs w:val="20"/>
        </w:rPr>
      </w:pPr>
      <w:r w:rsidRPr="0088338F">
        <w:rPr>
          <w:rFonts w:ascii="Arial" w:hAnsi="Arial" w:cs="Arial"/>
          <w:sz w:val="20"/>
          <w:szCs w:val="20"/>
        </w:rPr>
        <w:t>Pretrvávajúc</w:t>
      </w:r>
      <w:r w:rsidR="00687A84" w:rsidRPr="0088338F">
        <w:rPr>
          <w:rFonts w:ascii="Arial" w:hAnsi="Arial" w:cs="Arial"/>
          <w:sz w:val="20"/>
          <w:szCs w:val="20"/>
        </w:rPr>
        <w:t xml:space="preserve">i dopad  finančnej krízy </w:t>
      </w:r>
      <w:r w:rsidR="00BB5146" w:rsidRPr="0088338F">
        <w:rPr>
          <w:rFonts w:ascii="Arial" w:hAnsi="Arial" w:cs="Arial"/>
          <w:sz w:val="20"/>
          <w:szCs w:val="20"/>
        </w:rPr>
        <w:t>na finančné trhy a ekonomické prostredie mali za následok významné úpravy ocenenia majetku banky. Vedenie banky p</w:t>
      </w:r>
      <w:r w:rsidR="00246798" w:rsidRPr="0088338F">
        <w:rPr>
          <w:rFonts w:ascii="Arial" w:hAnsi="Arial" w:cs="Arial"/>
          <w:sz w:val="20"/>
          <w:szCs w:val="20"/>
        </w:rPr>
        <w:t>ri stanovovaní obozretných a </w:t>
      </w:r>
      <w:r w:rsidR="00BB5146" w:rsidRPr="0088338F">
        <w:rPr>
          <w:rFonts w:ascii="Arial" w:hAnsi="Arial" w:cs="Arial"/>
          <w:sz w:val="20"/>
          <w:szCs w:val="20"/>
        </w:rPr>
        <w:t xml:space="preserve">primeraných odhadov ocenenia za daných podmienok zvážilo všetky relevantné faktory. Okrem toho  naďalej </w:t>
      </w:r>
      <w:r w:rsidR="00CC534E" w:rsidRPr="0088338F">
        <w:rPr>
          <w:rFonts w:ascii="Arial" w:hAnsi="Arial" w:cs="Arial"/>
          <w:sz w:val="20"/>
          <w:szCs w:val="20"/>
        </w:rPr>
        <w:t xml:space="preserve">existuje </w:t>
      </w:r>
      <w:r w:rsidR="00BB5146" w:rsidRPr="0088338F">
        <w:rPr>
          <w:rFonts w:ascii="Arial" w:hAnsi="Arial" w:cs="Arial"/>
          <w:sz w:val="20"/>
          <w:szCs w:val="20"/>
        </w:rPr>
        <w:t>zv</w:t>
      </w:r>
      <w:r w:rsidR="00CC534E" w:rsidRPr="0088338F">
        <w:rPr>
          <w:rFonts w:ascii="Arial" w:hAnsi="Arial" w:cs="Arial"/>
          <w:sz w:val="20"/>
          <w:szCs w:val="20"/>
        </w:rPr>
        <w:t>ýšená</w:t>
      </w:r>
      <w:r w:rsidR="00BB5146" w:rsidRPr="0088338F">
        <w:rPr>
          <w:rFonts w:ascii="Arial" w:hAnsi="Arial" w:cs="Arial"/>
          <w:sz w:val="20"/>
          <w:szCs w:val="20"/>
        </w:rPr>
        <w:t xml:space="preserve"> miera neistoty v súvislosti s budúcim ekonomickým vývojom. Tieto faktory môžu mať za následok ďalšie zmeny v ocenení majetku, pričom tieto zmeny môžu byť významné. </w:t>
      </w:r>
    </w:p>
    <w:p w14:paraId="37463161" w14:textId="77777777" w:rsidR="00BB5146" w:rsidRPr="0088338F" w:rsidRDefault="00BB5146" w:rsidP="00BB5146">
      <w:pPr>
        <w:autoSpaceDE w:val="0"/>
        <w:autoSpaceDN w:val="0"/>
        <w:adjustRightInd w:val="0"/>
        <w:jc w:val="both"/>
        <w:rPr>
          <w:rFonts w:ascii="Arial" w:hAnsi="Arial" w:cs="Arial"/>
          <w:sz w:val="20"/>
          <w:szCs w:val="20"/>
        </w:rPr>
      </w:pPr>
    </w:p>
    <w:p w14:paraId="498B9D21" w14:textId="5FFA828A" w:rsidR="00D7583E" w:rsidRPr="0088338F" w:rsidRDefault="00BB5146" w:rsidP="0032503C">
      <w:pPr>
        <w:numPr>
          <w:ilvl w:val="0"/>
          <w:numId w:val="22"/>
        </w:numPr>
        <w:tabs>
          <w:tab w:val="clear" w:pos="927"/>
          <w:tab w:val="num" w:pos="567"/>
        </w:tabs>
        <w:autoSpaceDE w:val="0"/>
        <w:autoSpaceDN w:val="0"/>
        <w:adjustRightInd w:val="0"/>
        <w:ind w:left="567" w:hanging="567"/>
        <w:jc w:val="both"/>
        <w:rPr>
          <w:rFonts w:ascii="Arial" w:hAnsi="Arial" w:cs="Arial"/>
          <w:sz w:val="20"/>
          <w:szCs w:val="20"/>
        </w:rPr>
      </w:pPr>
      <w:r w:rsidRPr="0088338F">
        <w:rPr>
          <w:rFonts w:ascii="Arial" w:hAnsi="Arial" w:cs="Arial"/>
          <w:sz w:val="20"/>
          <w:szCs w:val="20"/>
        </w:rPr>
        <w:t>Rezervy na záväzky vychádzajú z odhadov vedenia a predstavujú najlepší odhad výdavkov potrebných na vyrovnanie záväzku, v prípade ktorého nie je presne určená splatnosť, resp. dlžná suma.</w:t>
      </w:r>
    </w:p>
    <w:p w14:paraId="22FCB3CF" w14:textId="73F06A1E" w:rsidR="00246798" w:rsidRPr="0088338F" w:rsidRDefault="00246798">
      <w:pPr>
        <w:rPr>
          <w:rFonts w:ascii="Arial" w:hAnsi="Arial" w:cs="Arial"/>
          <w:sz w:val="20"/>
          <w:szCs w:val="20"/>
        </w:rPr>
      </w:pPr>
    </w:p>
    <w:p w14:paraId="20F4DC73" w14:textId="49E7DC0B" w:rsidR="008E6838" w:rsidRPr="005816AE" w:rsidRDefault="00A5134A" w:rsidP="005816AE">
      <w:pPr>
        <w:numPr>
          <w:ilvl w:val="0"/>
          <w:numId w:val="22"/>
        </w:numPr>
        <w:tabs>
          <w:tab w:val="clear" w:pos="927"/>
          <w:tab w:val="num" w:pos="567"/>
        </w:tabs>
        <w:autoSpaceDE w:val="0"/>
        <w:autoSpaceDN w:val="0"/>
        <w:adjustRightInd w:val="0"/>
        <w:ind w:left="567" w:hanging="567"/>
        <w:jc w:val="both"/>
        <w:rPr>
          <w:rFonts w:ascii="Arial" w:hAnsi="Arial" w:cs="Arial"/>
          <w:b/>
          <w:bCs/>
          <w:sz w:val="20"/>
          <w:szCs w:val="20"/>
        </w:rPr>
      </w:pPr>
      <w:r w:rsidRPr="005816AE">
        <w:rPr>
          <w:rFonts w:ascii="Arial" w:hAnsi="Arial" w:cs="Arial"/>
          <w:sz w:val="20"/>
          <w:szCs w:val="20"/>
        </w:rPr>
        <w:t>Banka pravidelne v štvrťročných intervaloch monitoruje úverové portfólio a individuálne alebo portfóliovo posudzuje pohľadávky z úverových obchodov z hľadiska identifikácie udalosti straty. Následne prepočítava vplyv udalosti straty na vykazovanú hodnotu finančného aktíva</w:t>
      </w:r>
      <w:r w:rsidR="008242B1" w:rsidRPr="005816AE">
        <w:rPr>
          <w:rFonts w:ascii="Arial" w:hAnsi="Arial" w:cs="Arial"/>
          <w:sz w:val="20"/>
          <w:szCs w:val="20"/>
        </w:rPr>
        <w:t>,</w:t>
      </w:r>
      <w:r w:rsidRPr="005816AE">
        <w:rPr>
          <w:rFonts w:ascii="Arial" w:hAnsi="Arial" w:cs="Arial"/>
          <w:sz w:val="20"/>
          <w:szCs w:val="20"/>
        </w:rPr>
        <w:t xml:space="preserve"> pričom berie do úvahy aj očakávaný výnos z prijatého zabezpečenia. Vzhľadom na súčasné ekonomické podmienky sa môže </w:t>
      </w:r>
      <w:r w:rsidR="00482039" w:rsidRPr="005816AE">
        <w:rPr>
          <w:rFonts w:ascii="Arial" w:hAnsi="Arial" w:cs="Arial"/>
          <w:sz w:val="20"/>
          <w:szCs w:val="20"/>
        </w:rPr>
        <w:t>budúci</w:t>
      </w:r>
      <w:r w:rsidR="00316119" w:rsidRPr="005816AE">
        <w:rPr>
          <w:rFonts w:ascii="Arial" w:hAnsi="Arial" w:cs="Arial"/>
          <w:sz w:val="20"/>
          <w:szCs w:val="20"/>
        </w:rPr>
        <w:t xml:space="preserve"> </w:t>
      </w:r>
      <w:r w:rsidRPr="005816AE">
        <w:rPr>
          <w:rFonts w:ascii="Arial" w:hAnsi="Arial" w:cs="Arial"/>
          <w:sz w:val="20"/>
          <w:szCs w:val="20"/>
        </w:rPr>
        <w:t>výsledok týchto odhadov líšiť od opravných položiek na zníženie hodnoty vykázaných k 31. decembru 20</w:t>
      </w:r>
      <w:r w:rsidR="007E62C3" w:rsidRPr="005816AE">
        <w:rPr>
          <w:rFonts w:ascii="Arial" w:hAnsi="Arial" w:cs="Arial"/>
          <w:sz w:val="20"/>
          <w:szCs w:val="20"/>
        </w:rPr>
        <w:t>1</w:t>
      </w:r>
      <w:r w:rsidR="00F85FFF" w:rsidRPr="005816AE">
        <w:rPr>
          <w:rFonts w:ascii="Arial" w:hAnsi="Arial" w:cs="Arial"/>
          <w:sz w:val="20"/>
          <w:szCs w:val="20"/>
        </w:rPr>
        <w:t>6</w:t>
      </w:r>
      <w:r w:rsidR="00817567" w:rsidRPr="005816AE">
        <w:rPr>
          <w:rFonts w:ascii="Arial" w:hAnsi="Arial" w:cs="Arial"/>
          <w:sz w:val="20"/>
          <w:szCs w:val="20"/>
        </w:rPr>
        <w:t>.</w:t>
      </w:r>
      <w:r w:rsidR="008E6838" w:rsidRPr="005816AE">
        <w:rPr>
          <w:rFonts w:ascii="Arial" w:hAnsi="Arial" w:cs="Arial"/>
          <w:b/>
          <w:bCs/>
          <w:sz w:val="20"/>
          <w:szCs w:val="20"/>
        </w:rPr>
        <w:br w:type="page"/>
      </w:r>
    </w:p>
    <w:p w14:paraId="39A72DEB" w14:textId="57BA4BA5" w:rsidR="00A17B0F" w:rsidRPr="0088338F" w:rsidRDefault="00A17B0F" w:rsidP="00A17B0F">
      <w:pPr>
        <w:tabs>
          <w:tab w:val="left" w:pos="0"/>
          <w:tab w:val="right" w:pos="4820"/>
          <w:tab w:val="right" w:pos="6521"/>
          <w:tab w:val="right" w:pos="8222"/>
        </w:tabs>
        <w:jc w:val="both"/>
        <w:rPr>
          <w:rFonts w:ascii="Arial" w:hAnsi="Arial" w:cs="Arial"/>
          <w:b/>
          <w:bCs/>
          <w:sz w:val="20"/>
          <w:szCs w:val="20"/>
        </w:rPr>
      </w:pPr>
      <w:r w:rsidRPr="0088338F">
        <w:rPr>
          <w:rFonts w:ascii="Arial" w:hAnsi="Arial" w:cs="Arial"/>
          <w:b/>
          <w:bCs/>
          <w:sz w:val="20"/>
          <w:szCs w:val="20"/>
        </w:rPr>
        <w:lastRenderedPageBreak/>
        <w:t>(2.5) Zhrnutie základných účtovných postupov</w:t>
      </w:r>
    </w:p>
    <w:p w14:paraId="5D995887" w14:textId="77777777" w:rsidR="000E0D50" w:rsidRPr="0088338F" w:rsidRDefault="000E0D50" w:rsidP="00A17B0F">
      <w:pPr>
        <w:tabs>
          <w:tab w:val="left" w:pos="0"/>
          <w:tab w:val="right" w:pos="4820"/>
          <w:tab w:val="right" w:pos="6521"/>
          <w:tab w:val="right" w:pos="8222"/>
        </w:tabs>
        <w:jc w:val="both"/>
        <w:rPr>
          <w:rFonts w:ascii="Arial" w:hAnsi="Arial" w:cs="Arial"/>
          <w:b/>
          <w:sz w:val="20"/>
          <w:szCs w:val="20"/>
        </w:rPr>
      </w:pPr>
    </w:p>
    <w:p w14:paraId="5EE609CF" w14:textId="77777777" w:rsidR="00A17B0F" w:rsidRPr="0088338F" w:rsidRDefault="00A17B0F" w:rsidP="00A17B0F">
      <w:pPr>
        <w:tabs>
          <w:tab w:val="left" w:pos="0"/>
          <w:tab w:val="right" w:pos="4820"/>
          <w:tab w:val="right" w:pos="6521"/>
          <w:tab w:val="right" w:pos="8222"/>
        </w:tabs>
        <w:jc w:val="both"/>
        <w:rPr>
          <w:rFonts w:ascii="Arial" w:hAnsi="Arial" w:cs="Arial"/>
          <w:b/>
          <w:caps/>
          <w:sz w:val="20"/>
          <w:szCs w:val="20"/>
        </w:rPr>
      </w:pPr>
      <w:r w:rsidRPr="0088338F">
        <w:rPr>
          <w:rFonts w:ascii="Arial" w:hAnsi="Arial" w:cs="Arial"/>
          <w:b/>
          <w:sz w:val="20"/>
          <w:szCs w:val="20"/>
        </w:rPr>
        <w:t>(1) Cudzie meny</w:t>
      </w:r>
    </w:p>
    <w:p w14:paraId="3A133114"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Transakcie v cudzej mene sú prepočítané na </w:t>
      </w:r>
      <w:r w:rsidR="00435C03" w:rsidRPr="0088338F">
        <w:rPr>
          <w:rFonts w:ascii="Arial" w:hAnsi="Arial" w:cs="Arial"/>
          <w:sz w:val="20"/>
          <w:szCs w:val="20"/>
        </w:rPr>
        <w:t>eurá</w:t>
      </w:r>
      <w:r w:rsidRPr="0088338F">
        <w:rPr>
          <w:rFonts w:ascii="Arial" w:hAnsi="Arial" w:cs="Arial"/>
          <w:sz w:val="20"/>
          <w:szCs w:val="20"/>
        </w:rPr>
        <w:t xml:space="preserve"> kurzom </w:t>
      </w:r>
      <w:r w:rsidR="00435C03" w:rsidRPr="0088338F">
        <w:rPr>
          <w:rFonts w:ascii="Arial" w:hAnsi="Arial" w:cs="Arial"/>
          <w:sz w:val="20"/>
          <w:szCs w:val="20"/>
        </w:rPr>
        <w:t>ECB</w:t>
      </w:r>
      <w:r w:rsidRPr="0088338F">
        <w:rPr>
          <w:rFonts w:ascii="Arial" w:hAnsi="Arial" w:cs="Arial"/>
          <w:sz w:val="20"/>
          <w:szCs w:val="20"/>
        </w:rPr>
        <w:t xml:space="preserve"> alebo komerčnej banky platným v deň uskutočnenia danej transakcie. Peňažný majetok a záväzky sú prepočítané kurzom platným ku dňu, ku ktorému sa zostavuje účtovná závierka. Kurzové rozdiely sú zaúčtované vo výkaze ziskov a strát v položke</w:t>
      </w:r>
      <w:r w:rsidRPr="0088338F">
        <w:rPr>
          <w:rFonts w:ascii="Arial" w:hAnsi="Arial" w:cs="Arial"/>
          <w:i/>
          <w:iCs/>
          <w:sz w:val="20"/>
          <w:szCs w:val="20"/>
        </w:rPr>
        <w:t> </w:t>
      </w:r>
      <w:r w:rsidRPr="0088338F">
        <w:rPr>
          <w:rFonts w:ascii="Arial" w:hAnsi="Arial" w:cs="Arial"/>
          <w:iCs/>
          <w:sz w:val="20"/>
          <w:szCs w:val="20"/>
        </w:rPr>
        <w:t>„ Zisk</w:t>
      </w:r>
      <w:r w:rsidR="005A01BC" w:rsidRPr="0088338F">
        <w:rPr>
          <w:rFonts w:ascii="Arial" w:hAnsi="Arial" w:cs="Arial"/>
          <w:iCs/>
          <w:sz w:val="20"/>
          <w:szCs w:val="20"/>
        </w:rPr>
        <w:t xml:space="preserve"> </w:t>
      </w:r>
      <w:r w:rsidRPr="0088338F">
        <w:rPr>
          <w:rFonts w:ascii="Arial" w:hAnsi="Arial" w:cs="Arial"/>
          <w:iCs/>
          <w:sz w:val="20"/>
          <w:szCs w:val="20"/>
        </w:rPr>
        <w:t>z obchodovania“</w:t>
      </w:r>
      <w:r w:rsidRPr="0088338F">
        <w:rPr>
          <w:rFonts w:ascii="Arial" w:hAnsi="Arial" w:cs="Arial"/>
          <w:sz w:val="20"/>
          <w:szCs w:val="20"/>
        </w:rPr>
        <w:t>.</w:t>
      </w:r>
    </w:p>
    <w:p w14:paraId="0D4E8ECE" w14:textId="77777777" w:rsidR="00BB5146" w:rsidRDefault="00BB5146" w:rsidP="00A17B0F">
      <w:pPr>
        <w:tabs>
          <w:tab w:val="left" w:pos="0"/>
          <w:tab w:val="right" w:pos="4820"/>
          <w:tab w:val="right" w:pos="6521"/>
          <w:tab w:val="right" w:pos="8222"/>
        </w:tabs>
        <w:jc w:val="both"/>
        <w:rPr>
          <w:rFonts w:ascii="Arial" w:hAnsi="Arial" w:cs="Arial"/>
          <w:sz w:val="20"/>
          <w:szCs w:val="20"/>
        </w:rPr>
      </w:pPr>
    </w:p>
    <w:p w14:paraId="19C933B4" w14:textId="77777777" w:rsidR="00BB5146" w:rsidRPr="0088338F" w:rsidRDefault="00BB5146" w:rsidP="00BB5146">
      <w:pPr>
        <w:tabs>
          <w:tab w:val="left" w:pos="0"/>
          <w:tab w:val="right" w:pos="4820"/>
          <w:tab w:val="right" w:pos="6521"/>
          <w:tab w:val="right" w:pos="8222"/>
        </w:tabs>
        <w:jc w:val="both"/>
        <w:rPr>
          <w:rFonts w:ascii="Arial" w:hAnsi="Arial" w:cs="Arial"/>
          <w:b/>
          <w:caps/>
          <w:sz w:val="20"/>
          <w:szCs w:val="20"/>
        </w:rPr>
      </w:pPr>
      <w:r w:rsidRPr="0088338F">
        <w:rPr>
          <w:rFonts w:ascii="Arial" w:hAnsi="Arial" w:cs="Arial"/>
          <w:b/>
          <w:sz w:val="20"/>
          <w:szCs w:val="20"/>
        </w:rPr>
        <w:t xml:space="preserve">(2) </w:t>
      </w:r>
      <w:r w:rsidR="00C03814" w:rsidRPr="0088338F">
        <w:rPr>
          <w:rFonts w:ascii="Arial" w:hAnsi="Arial" w:cs="Arial"/>
          <w:b/>
          <w:sz w:val="20"/>
          <w:szCs w:val="20"/>
        </w:rPr>
        <w:t>Peniaze a peňažné ekvivalenty</w:t>
      </w:r>
    </w:p>
    <w:p w14:paraId="56D14313" w14:textId="77777777" w:rsidR="00BB5146" w:rsidRPr="0088338F" w:rsidRDefault="00BB5146"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Za peňa</w:t>
      </w:r>
      <w:r w:rsidR="00D96D0F" w:rsidRPr="0088338F">
        <w:rPr>
          <w:rFonts w:ascii="Arial" w:hAnsi="Arial" w:cs="Arial"/>
          <w:sz w:val="20"/>
          <w:szCs w:val="20"/>
        </w:rPr>
        <w:t>žné ekvivalenty považuje banka</w:t>
      </w:r>
      <w:r w:rsidRPr="0088338F">
        <w:rPr>
          <w:rFonts w:ascii="Arial" w:hAnsi="Arial" w:cs="Arial"/>
          <w:sz w:val="20"/>
          <w:szCs w:val="20"/>
        </w:rPr>
        <w:t xml:space="preserve"> peňažnú hotovosť, zostatky na bežných účtoch v NBS alebo v iných finančných inštitúciách, termínov</w:t>
      </w:r>
      <w:r w:rsidR="008242B1" w:rsidRPr="0088338F">
        <w:rPr>
          <w:rFonts w:ascii="Arial" w:hAnsi="Arial" w:cs="Arial"/>
          <w:sz w:val="20"/>
          <w:szCs w:val="20"/>
        </w:rPr>
        <w:t>ané</w:t>
      </w:r>
      <w:r w:rsidRPr="0088338F">
        <w:rPr>
          <w:rFonts w:ascii="Arial" w:hAnsi="Arial" w:cs="Arial"/>
          <w:sz w:val="20"/>
          <w:szCs w:val="20"/>
        </w:rPr>
        <w:t xml:space="preserve"> vklady v iných finančných inštitúciách so zostatkovou dobou splatnosti troch mesiacov a pokladničné poukážky so zostatkovou dobou splatnosti do troch mesiacov. Povinné minimálne rezervy v NBS sa vzhľadom na obmedzenie čerpania nezahŕňajú medzi peňažné ekvivalenty na účely stanovenia peňažných tokov.</w:t>
      </w:r>
    </w:p>
    <w:p w14:paraId="77531AF8" w14:textId="77777777" w:rsidR="00246798" w:rsidRPr="0088338F" w:rsidRDefault="00246798" w:rsidP="00A17B0F">
      <w:pPr>
        <w:tabs>
          <w:tab w:val="left" w:pos="0"/>
          <w:tab w:val="right" w:pos="4820"/>
          <w:tab w:val="right" w:pos="6521"/>
          <w:tab w:val="right" w:pos="8222"/>
        </w:tabs>
        <w:jc w:val="both"/>
        <w:rPr>
          <w:rFonts w:ascii="Arial" w:hAnsi="Arial" w:cs="Arial"/>
          <w:sz w:val="20"/>
          <w:szCs w:val="20"/>
        </w:rPr>
      </w:pPr>
    </w:p>
    <w:p w14:paraId="6DD923FB"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w:t>
      </w:r>
      <w:r w:rsidR="00BB5146" w:rsidRPr="0088338F">
        <w:rPr>
          <w:rFonts w:ascii="Arial" w:hAnsi="Arial" w:cs="Arial"/>
          <w:b/>
          <w:sz w:val="20"/>
          <w:szCs w:val="20"/>
        </w:rPr>
        <w:t>3</w:t>
      </w:r>
      <w:r w:rsidRPr="0088338F">
        <w:rPr>
          <w:rFonts w:ascii="Arial" w:hAnsi="Arial" w:cs="Arial"/>
          <w:b/>
          <w:sz w:val="20"/>
          <w:szCs w:val="20"/>
        </w:rPr>
        <w:t>) Finan</w:t>
      </w:r>
      <w:r w:rsidR="000E0D50" w:rsidRPr="0088338F">
        <w:rPr>
          <w:rFonts w:ascii="Arial" w:hAnsi="Arial" w:cs="Arial"/>
          <w:b/>
          <w:sz w:val="20"/>
          <w:szCs w:val="20"/>
        </w:rPr>
        <w:t>čné nástroje</w:t>
      </w:r>
      <w:r w:rsidR="00341594" w:rsidRPr="0088338F">
        <w:rPr>
          <w:rFonts w:ascii="Arial" w:hAnsi="Arial" w:cs="Arial"/>
          <w:b/>
          <w:sz w:val="20"/>
          <w:szCs w:val="20"/>
        </w:rPr>
        <w:t xml:space="preserve"> </w:t>
      </w:r>
      <w:r w:rsidRPr="0088338F">
        <w:rPr>
          <w:rFonts w:ascii="Arial" w:hAnsi="Arial" w:cs="Arial"/>
          <w:b/>
          <w:sz w:val="20"/>
          <w:szCs w:val="20"/>
        </w:rPr>
        <w:t>–</w:t>
      </w:r>
      <w:r w:rsidR="000E0D50" w:rsidRPr="0088338F">
        <w:rPr>
          <w:rFonts w:ascii="Arial" w:hAnsi="Arial" w:cs="Arial"/>
          <w:b/>
          <w:sz w:val="20"/>
          <w:szCs w:val="20"/>
        </w:rPr>
        <w:t xml:space="preserve"> </w:t>
      </w:r>
      <w:r w:rsidRPr="0088338F">
        <w:rPr>
          <w:rFonts w:ascii="Arial" w:hAnsi="Arial" w:cs="Arial"/>
          <w:b/>
          <w:sz w:val="20"/>
          <w:szCs w:val="20"/>
        </w:rPr>
        <w:t>vykázanie a  oceňovanie</w:t>
      </w:r>
    </w:p>
    <w:p w14:paraId="3E464819"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p>
    <w:p w14:paraId="2948C0EC"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(i) Dátum prvotného vykázania</w:t>
      </w:r>
    </w:p>
    <w:p w14:paraId="671DEF67"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Nákup alebo predaj finančného majetku, pri ktorom dôjde k majetkovému a finančnému vysporiadaniu v časovom rámci určenom všeobecným predpisom alebo v časovom rámci obvyklom na danom trhu, sa vykazuje k dátumu </w:t>
      </w:r>
      <w:r w:rsidR="001A7C0E" w:rsidRPr="0088338F">
        <w:rPr>
          <w:rFonts w:ascii="Arial" w:hAnsi="Arial" w:cs="Arial"/>
          <w:sz w:val="20"/>
          <w:szCs w:val="20"/>
        </w:rPr>
        <w:t>majetkového</w:t>
      </w:r>
      <w:r w:rsidRPr="0088338F">
        <w:rPr>
          <w:rFonts w:ascii="Arial" w:hAnsi="Arial" w:cs="Arial"/>
          <w:sz w:val="20"/>
          <w:szCs w:val="20"/>
        </w:rPr>
        <w:t xml:space="preserve"> vysporiadania. Deriváty sa vykazujú k dátumu dohodnutia transakcie.</w:t>
      </w:r>
    </w:p>
    <w:p w14:paraId="7D423465" w14:textId="77777777" w:rsidR="00246798" w:rsidRPr="0088338F" w:rsidRDefault="00246798" w:rsidP="00A17B0F">
      <w:pPr>
        <w:tabs>
          <w:tab w:val="left" w:pos="0"/>
          <w:tab w:val="right" w:pos="4820"/>
          <w:tab w:val="right" w:pos="6521"/>
          <w:tab w:val="right" w:pos="8222"/>
        </w:tabs>
        <w:jc w:val="both"/>
        <w:rPr>
          <w:rFonts w:ascii="Arial" w:hAnsi="Arial" w:cs="Arial"/>
          <w:b/>
          <w:sz w:val="20"/>
          <w:szCs w:val="20"/>
        </w:rPr>
      </w:pPr>
    </w:p>
    <w:p w14:paraId="0276422D" w14:textId="0DC297B2"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b/>
          <w:sz w:val="20"/>
          <w:szCs w:val="20"/>
        </w:rPr>
        <w:t>(ii) Prvotné ocenenie finančných nástrojov</w:t>
      </w:r>
    </w:p>
    <w:p w14:paraId="0DD56037"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Klasifikácia finančného majetku a záväzkov pri prvotnom vykázaní závisí od účelu, </w:t>
      </w:r>
      <w:r w:rsidR="008242B1" w:rsidRPr="0088338F">
        <w:rPr>
          <w:rFonts w:ascii="Arial" w:hAnsi="Arial" w:cs="Arial"/>
          <w:sz w:val="20"/>
          <w:szCs w:val="20"/>
        </w:rPr>
        <w:t xml:space="preserve">na </w:t>
      </w:r>
      <w:r w:rsidRPr="0088338F">
        <w:rPr>
          <w:rFonts w:ascii="Arial" w:hAnsi="Arial" w:cs="Arial"/>
          <w:sz w:val="20"/>
          <w:szCs w:val="20"/>
        </w:rPr>
        <w:t>ktorý bol finančný majetok alebo záväzok obstaraný</w:t>
      </w:r>
      <w:r w:rsidR="008242B1" w:rsidRPr="0088338F">
        <w:rPr>
          <w:rFonts w:ascii="Arial" w:hAnsi="Arial" w:cs="Arial"/>
          <w:sz w:val="20"/>
          <w:szCs w:val="20"/>
        </w:rPr>
        <w:t>,</w:t>
      </w:r>
      <w:r w:rsidRPr="0088338F">
        <w:rPr>
          <w:rFonts w:ascii="Arial" w:hAnsi="Arial" w:cs="Arial"/>
          <w:sz w:val="20"/>
          <w:szCs w:val="20"/>
        </w:rPr>
        <w:t xml:space="preserve"> a od ich charakteru. Finančné nástroje sú pri prvotnom vykázaní oceňované v reálnej hodnote vrátane transakčných nákladov. </w:t>
      </w:r>
    </w:p>
    <w:p w14:paraId="4DD8C35F" w14:textId="77777777" w:rsidR="006E610F" w:rsidRPr="0088338F" w:rsidRDefault="006E610F" w:rsidP="00A17B0F">
      <w:pPr>
        <w:tabs>
          <w:tab w:val="left" w:pos="0"/>
          <w:tab w:val="right" w:pos="4820"/>
          <w:tab w:val="right" w:pos="6521"/>
          <w:tab w:val="right" w:pos="8222"/>
        </w:tabs>
        <w:jc w:val="both"/>
        <w:rPr>
          <w:rFonts w:ascii="Arial" w:hAnsi="Arial" w:cs="Arial"/>
          <w:b/>
          <w:sz w:val="20"/>
          <w:szCs w:val="20"/>
        </w:rPr>
      </w:pPr>
    </w:p>
    <w:p w14:paraId="0FCBF67F"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(iii) Finančné investície držané do splatnosti</w:t>
      </w:r>
    </w:p>
    <w:p w14:paraId="1EBC1797"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Finančné investície držané do splatnosti sú tie finančné investície, ktoré prinášajú </w:t>
      </w:r>
      <w:r w:rsidR="00BB5146" w:rsidRPr="0088338F">
        <w:rPr>
          <w:rFonts w:ascii="Arial" w:hAnsi="Arial" w:cs="Arial"/>
          <w:sz w:val="20"/>
          <w:szCs w:val="20"/>
        </w:rPr>
        <w:t>vopred</w:t>
      </w:r>
      <w:r w:rsidRPr="0088338F">
        <w:rPr>
          <w:rFonts w:ascii="Arial" w:hAnsi="Arial" w:cs="Arial"/>
          <w:sz w:val="20"/>
          <w:szCs w:val="20"/>
        </w:rPr>
        <w:t xml:space="preserve"> stanovené alebo vopred určiteľné platby, majú fixne stanovenú splatnosť a </w:t>
      </w:r>
      <w:r w:rsidR="005A01BC" w:rsidRPr="0088338F">
        <w:rPr>
          <w:rFonts w:ascii="Arial" w:hAnsi="Arial" w:cs="Arial"/>
          <w:sz w:val="20"/>
          <w:szCs w:val="20"/>
        </w:rPr>
        <w:t xml:space="preserve">banka </w:t>
      </w:r>
      <w:r w:rsidRPr="0088338F">
        <w:rPr>
          <w:rFonts w:ascii="Arial" w:hAnsi="Arial" w:cs="Arial"/>
          <w:sz w:val="20"/>
          <w:szCs w:val="20"/>
        </w:rPr>
        <w:t>ich plánuje a má schopnosť držať do splatnosti. Po prvotnom vykázaní sa finančné investície držané do splatnosti následne oceňujú v amortizovanej hodnote pomocou efektívnej úrokovej miery po zohľadnení opravnej položky na zníženie hodnoty. Amortizovaná hodnota sa vypočíta pri zohľadnení diskontov a prémií z obstarávacej ceny a poplatkov, ktoré predstavujú neoddeliteľnú súčasť efektívnej úrokovej miery.  Amortizácia je zahrnutá v položke „</w:t>
      </w:r>
      <w:r w:rsidR="005A01BC" w:rsidRPr="0088338F">
        <w:rPr>
          <w:rFonts w:ascii="Arial" w:hAnsi="Arial" w:cs="Arial"/>
          <w:sz w:val="20"/>
          <w:szCs w:val="20"/>
        </w:rPr>
        <w:t>Úrokové výnosy</w:t>
      </w:r>
      <w:r w:rsidRPr="0088338F">
        <w:rPr>
          <w:rFonts w:ascii="Arial" w:hAnsi="Arial" w:cs="Arial"/>
          <w:sz w:val="20"/>
          <w:szCs w:val="20"/>
        </w:rPr>
        <w:t xml:space="preserve"> a</w:t>
      </w:r>
      <w:r w:rsidR="000E0D50" w:rsidRPr="0088338F">
        <w:rPr>
          <w:rFonts w:ascii="Arial" w:hAnsi="Arial" w:cs="Arial"/>
          <w:sz w:val="20"/>
          <w:szCs w:val="20"/>
        </w:rPr>
        <w:t> obdobné</w:t>
      </w:r>
      <w:r w:rsidRPr="0088338F">
        <w:rPr>
          <w:rFonts w:ascii="Arial" w:hAnsi="Arial" w:cs="Arial"/>
          <w:sz w:val="20"/>
          <w:szCs w:val="20"/>
        </w:rPr>
        <w:t xml:space="preserve"> výnosy“ vo výkaze ziskov a strát. Straty zo zníženia hodnoty takýchto investícií sa vykazujú v položke výkazu ziskov a strát „</w:t>
      </w:r>
      <w:r w:rsidR="007E1861" w:rsidRPr="0088338F">
        <w:rPr>
          <w:rFonts w:ascii="Arial" w:hAnsi="Arial" w:cs="Arial"/>
          <w:sz w:val="20"/>
          <w:szCs w:val="20"/>
          <w:lang w:eastAsia="en-US"/>
        </w:rPr>
        <w:t>R</w:t>
      </w:r>
      <w:r w:rsidR="003C5970" w:rsidRPr="0088338F">
        <w:rPr>
          <w:rFonts w:ascii="Arial" w:hAnsi="Arial" w:cs="Arial"/>
          <w:sz w:val="20"/>
          <w:szCs w:val="20"/>
          <w:lang w:eastAsia="en-US"/>
        </w:rPr>
        <w:t xml:space="preserve">ozpustenie </w:t>
      </w:r>
      <w:r w:rsidR="001A7C0E" w:rsidRPr="0088338F">
        <w:rPr>
          <w:rFonts w:ascii="Arial" w:hAnsi="Arial" w:cs="Arial"/>
          <w:sz w:val="20"/>
          <w:szCs w:val="20"/>
          <w:lang w:eastAsia="en-US"/>
        </w:rPr>
        <w:t>opravných položiek k cenným papierom</w:t>
      </w:r>
      <w:r w:rsidRPr="0088338F">
        <w:rPr>
          <w:rFonts w:ascii="Arial" w:hAnsi="Arial" w:cs="Arial"/>
          <w:sz w:val="20"/>
          <w:szCs w:val="20"/>
        </w:rPr>
        <w:t>“.</w:t>
      </w:r>
    </w:p>
    <w:p w14:paraId="214BC23C" w14:textId="77777777" w:rsidR="00A17B0F" w:rsidRPr="0088338F" w:rsidRDefault="00A17B0F" w:rsidP="00A17B0F">
      <w:pPr>
        <w:tabs>
          <w:tab w:val="left" w:pos="0"/>
          <w:tab w:val="right" w:pos="4820"/>
          <w:tab w:val="right" w:pos="6521"/>
          <w:tab w:val="right" w:pos="8222"/>
        </w:tabs>
        <w:jc w:val="both"/>
        <w:rPr>
          <w:rFonts w:ascii="Arial" w:hAnsi="Arial" w:cs="Arial"/>
          <w:sz w:val="16"/>
          <w:szCs w:val="16"/>
        </w:rPr>
      </w:pPr>
    </w:p>
    <w:p w14:paraId="62236718"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(iv) Pohľadávky voči bankám a pohľadávky voči klientom</w:t>
      </w:r>
    </w:p>
    <w:p w14:paraId="239955FB" w14:textId="373F433B" w:rsidR="00246798" w:rsidRPr="0088338F" w:rsidRDefault="00A17B0F" w:rsidP="00246798">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„Pohľadávky voči bankám“ a „</w:t>
      </w:r>
      <w:r w:rsidR="008242B1" w:rsidRPr="0088338F">
        <w:rPr>
          <w:rFonts w:ascii="Arial" w:hAnsi="Arial" w:cs="Arial"/>
          <w:sz w:val="20"/>
          <w:szCs w:val="20"/>
        </w:rPr>
        <w:t xml:space="preserve">Pohľadávky </w:t>
      </w:r>
      <w:r w:rsidRPr="0088338F">
        <w:rPr>
          <w:rFonts w:ascii="Arial" w:hAnsi="Arial" w:cs="Arial"/>
          <w:sz w:val="20"/>
          <w:szCs w:val="20"/>
        </w:rPr>
        <w:t>voči klientom“ predstavujú finančný majetok s </w:t>
      </w:r>
      <w:r w:rsidR="00BB5146" w:rsidRPr="0088338F">
        <w:rPr>
          <w:rFonts w:ascii="Arial" w:hAnsi="Arial" w:cs="Arial"/>
          <w:sz w:val="20"/>
          <w:szCs w:val="20"/>
        </w:rPr>
        <w:t xml:space="preserve">vopred </w:t>
      </w:r>
      <w:r w:rsidRPr="0088338F">
        <w:rPr>
          <w:rFonts w:ascii="Arial" w:hAnsi="Arial" w:cs="Arial"/>
          <w:sz w:val="20"/>
          <w:szCs w:val="20"/>
        </w:rPr>
        <w:t>stanovenými alebo vopred určiteľnými platbami a fixnými splatnosťami, ktoré nie sú kótované na aktívnom trhu. Banka tieto obchody neuzatvárala s úmyslom okamžitého alebo krátkodobého následného predaja a tento finančný majetok sa neklasifikoval pri prvotnom zaúčtovaní ako „</w:t>
      </w:r>
      <w:r w:rsidR="00830FDA" w:rsidRPr="0088338F">
        <w:rPr>
          <w:rFonts w:ascii="Arial" w:hAnsi="Arial" w:cs="Arial"/>
          <w:sz w:val="20"/>
          <w:szCs w:val="20"/>
        </w:rPr>
        <w:t xml:space="preserve">Cenné </w:t>
      </w:r>
      <w:r w:rsidR="000E0D50" w:rsidRPr="0088338F">
        <w:rPr>
          <w:rFonts w:ascii="Arial" w:hAnsi="Arial" w:cs="Arial"/>
          <w:sz w:val="20"/>
          <w:szCs w:val="20"/>
        </w:rPr>
        <w:t>papiere</w:t>
      </w:r>
      <w:r w:rsidRPr="0088338F">
        <w:rPr>
          <w:rFonts w:ascii="Arial" w:hAnsi="Arial" w:cs="Arial"/>
          <w:sz w:val="20"/>
          <w:szCs w:val="20"/>
        </w:rPr>
        <w:t xml:space="preserve"> k dispozícii na predaj“. Po prvotnom vykázaní sa pohľadávky voči bankám a pohľadávky voči klientom následne oceňujú v amortizovanej hodnote pomocou efektívnej úrokovej miery po zohľadnení opravnej položky na zníženie hodnoty. Amortizovaná hodnota sa vypočíta pri zohľadnení diskontov a prémií z obstarávacej ceny a poplatkov, ktoré predstavujú neoddeliteľnú súčasť efektívnej úrokovej miery.  Amortizácia je zahrnutá v položke „</w:t>
      </w:r>
      <w:r w:rsidR="005A01BC" w:rsidRPr="0088338F">
        <w:rPr>
          <w:rFonts w:ascii="Arial" w:hAnsi="Arial" w:cs="Arial"/>
          <w:sz w:val="20"/>
          <w:szCs w:val="20"/>
        </w:rPr>
        <w:t>Úrokové výnosy</w:t>
      </w:r>
      <w:r w:rsidRPr="0088338F">
        <w:rPr>
          <w:rFonts w:ascii="Arial" w:hAnsi="Arial" w:cs="Arial"/>
          <w:sz w:val="20"/>
          <w:szCs w:val="20"/>
        </w:rPr>
        <w:t xml:space="preserve"> a</w:t>
      </w:r>
      <w:r w:rsidR="000E0D50" w:rsidRPr="0088338F">
        <w:rPr>
          <w:rFonts w:ascii="Arial" w:hAnsi="Arial" w:cs="Arial"/>
          <w:sz w:val="20"/>
          <w:szCs w:val="20"/>
        </w:rPr>
        <w:t> obdobné</w:t>
      </w:r>
      <w:r w:rsidRPr="0088338F">
        <w:rPr>
          <w:rFonts w:ascii="Arial" w:hAnsi="Arial" w:cs="Arial"/>
          <w:sz w:val="20"/>
          <w:szCs w:val="20"/>
        </w:rPr>
        <w:t xml:space="preserve"> výnosy“ vo výkaze ziskov a strát. Straty zo zníženia hodnoty takýchto investícií sa vykaz</w:t>
      </w:r>
      <w:r w:rsidR="004233A1" w:rsidRPr="0088338F">
        <w:rPr>
          <w:rFonts w:ascii="Arial" w:hAnsi="Arial" w:cs="Arial"/>
          <w:sz w:val="20"/>
          <w:szCs w:val="20"/>
        </w:rPr>
        <w:t>ujú v položke výkazu ziskov a </w:t>
      </w:r>
      <w:r w:rsidRPr="0088338F">
        <w:rPr>
          <w:rFonts w:ascii="Arial" w:hAnsi="Arial" w:cs="Arial"/>
          <w:sz w:val="20"/>
          <w:szCs w:val="20"/>
        </w:rPr>
        <w:t>strát „</w:t>
      </w:r>
      <w:r w:rsidR="005E320E" w:rsidRPr="0088338F">
        <w:rPr>
          <w:rFonts w:ascii="Arial" w:hAnsi="Arial" w:cs="Arial"/>
          <w:sz w:val="20"/>
          <w:szCs w:val="20"/>
        </w:rPr>
        <w:t>Tvorba opravných položiek, odpísanie a postúpenie pohľadávok</w:t>
      </w:r>
      <w:r w:rsidRPr="0088338F">
        <w:rPr>
          <w:rFonts w:ascii="Arial" w:hAnsi="Arial" w:cs="Arial"/>
          <w:sz w:val="20"/>
          <w:szCs w:val="20"/>
        </w:rPr>
        <w:t>“.</w:t>
      </w:r>
      <w:r w:rsidR="00246798" w:rsidRPr="0088338F">
        <w:rPr>
          <w:rFonts w:ascii="Arial" w:hAnsi="Arial" w:cs="Arial"/>
          <w:sz w:val="20"/>
          <w:szCs w:val="20"/>
        </w:rPr>
        <w:t xml:space="preserve">  </w:t>
      </w:r>
      <w:r w:rsidR="00246798" w:rsidRPr="0088338F">
        <w:rPr>
          <w:rFonts w:ascii="Arial" w:hAnsi="Arial" w:cs="Arial"/>
          <w:sz w:val="20"/>
          <w:szCs w:val="20"/>
        </w:rPr>
        <w:tab/>
      </w:r>
    </w:p>
    <w:p w14:paraId="1102F1F2" w14:textId="77777777" w:rsidR="008544EC" w:rsidRPr="0088338F" w:rsidRDefault="008544EC" w:rsidP="00246798">
      <w:pPr>
        <w:tabs>
          <w:tab w:val="left" w:pos="0"/>
          <w:tab w:val="right" w:pos="4820"/>
          <w:tab w:val="right" w:pos="6521"/>
          <w:tab w:val="right" w:pos="8222"/>
        </w:tabs>
        <w:jc w:val="both"/>
        <w:rPr>
          <w:rFonts w:ascii="Arial" w:hAnsi="Arial" w:cs="Arial"/>
          <w:b/>
          <w:sz w:val="20"/>
          <w:szCs w:val="20"/>
        </w:rPr>
      </w:pPr>
    </w:p>
    <w:p w14:paraId="03EE03D1" w14:textId="77777777" w:rsidR="008E6838" w:rsidRPr="0088338F" w:rsidRDefault="008E6838">
      <w:pPr>
        <w:rPr>
          <w:rFonts w:ascii="Arial" w:hAnsi="Arial" w:cs="Arial"/>
          <w:b/>
          <w:sz w:val="20"/>
          <w:szCs w:val="20"/>
        </w:rPr>
      </w:pPr>
      <w:r w:rsidRPr="0088338F">
        <w:rPr>
          <w:rFonts w:ascii="Arial" w:hAnsi="Arial" w:cs="Arial"/>
          <w:b/>
          <w:sz w:val="20"/>
          <w:szCs w:val="20"/>
        </w:rPr>
        <w:br w:type="page"/>
      </w:r>
    </w:p>
    <w:p w14:paraId="173BE8E2" w14:textId="325F0FCD" w:rsidR="002D7B2E" w:rsidRPr="0088338F" w:rsidRDefault="002D7B2E" w:rsidP="00341594">
      <w:pPr>
        <w:tabs>
          <w:tab w:val="left" w:pos="0"/>
          <w:tab w:val="right" w:pos="4820"/>
          <w:tab w:val="right" w:pos="6521"/>
          <w:tab w:val="right" w:pos="8222"/>
        </w:tabs>
        <w:jc w:val="both"/>
        <w:rPr>
          <w:rFonts w:ascii="Arial" w:hAnsi="Arial" w:cs="Arial"/>
          <w:sz w:val="20"/>
          <w:szCs w:val="20"/>
        </w:rPr>
      </w:pPr>
      <w:r w:rsidRPr="0088338F">
        <w:rPr>
          <w:rFonts w:ascii="Arial" w:hAnsi="Arial" w:cs="Arial"/>
          <w:b/>
          <w:sz w:val="20"/>
          <w:szCs w:val="20"/>
        </w:rPr>
        <w:lastRenderedPageBreak/>
        <w:t xml:space="preserve">(v) </w:t>
      </w:r>
      <w:r w:rsidR="000D5861" w:rsidRPr="0088338F">
        <w:rPr>
          <w:rFonts w:ascii="Arial" w:hAnsi="Arial" w:cs="Arial"/>
          <w:b/>
          <w:sz w:val="20"/>
          <w:szCs w:val="20"/>
        </w:rPr>
        <w:t>Finančné nástroje vykazované v reálnych hodnotách cez výsledovku</w:t>
      </w:r>
    </w:p>
    <w:p w14:paraId="7061EB68" w14:textId="77777777" w:rsidR="000D5861" w:rsidRPr="0088338F" w:rsidRDefault="002D7B2E" w:rsidP="000D5861">
      <w:pPr>
        <w:jc w:val="both"/>
        <w:rPr>
          <w:rFonts w:ascii="Arial" w:hAnsi="Arial" w:cs="Arial"/>
          <w:sz w:val="20"/>
          <w:szCs w:val="20"/>
        </w:rPr>
      </w:pPr>
      <w:r w:rsidRPr="0088338F">
        <w:rPr>
          <w:rFonts w:ascii="Arial" w:hAnsi="Arial" w:cs="Arial"/>
          <w:sz w:val="20"/>
          <w:szCs w:val="20"/>
        </w:rPr>
        <w:t xml:space="preserve">Finančné nástroje vykazované v reálnych hodnotách cez výsledovku obsahujú finančné deriváty a cenné papiere </w:t>
      </w:r>
      <w:r w:rsidR="003E7A05" w:rsidRPr="0088338F">
        <w:rPr>
          <w:rFonts w:ascii="Arial" w:hAnsi="Arial" w:cs="Arial"/>
          <w:sz w:val="20"/>
          <w:szCs w:val="20"/>
        </w:rPr>
        <w:t>oceňované reálnou hodnotou cez výsledovku. Cenné papiere oceňované reálnou hodnotou cez výsledovku predstavujú finančné aktíva držané na účely obchodovania a dosahovania zisku z cenových rozdielov.</w:t>
      </w:r>
    </w:p>
    <w:p w14:paraId="7790F5A8" w14:textId="77777777" w:rsidR="002D7B2E" w:rsidRPr="0088338F" w:rsidRDefault="002D7B2E" w:rsidP="000D5861">
      <w:pPr>
        <w:jc w:val="both"/>
        <w:rPr>
          <w:rFonts w:ascii="Arial" w:hAnsi="Arial" w:cs="Arial"/>
          <w:sz w:val="16"/>
          <w:szCs w:val="16"/>
        </w:rPr>
      </w:pPr>
    </w:p>
    <w:p w14:paraId="0F2D180F" w14:textId="77777777" w:rsidR="00116B16" w:rsidRPr="0088338F" w:rsidRDefault="00116B16" w:rsidP="00116B16">
      <w:pPr>
        <w:jc w:val="both"/>
        <w:rPr>
          <w:rFonts w:ascii="Arial" w:hAnsi="Arial" w:cs="Arial"/>
          <w:sz w:val="20"/>
        </w:rPr>
      </w:pPr>
      <w:r w:rsidRPr="0088338F">
        <w:rPr>
          <w:rFonts w:ascii="Arial" w:hAnsi="Arial" w:cs="Arial"/>
          <w:sz w:val="20"/>
        </w:rPr>
        <w:t>Cenné papiere určené na obchodovanie sa vykazujú v reálnej hodnote. Zisky a straty z precenenia sú vo výkaze ziskov a strát zahrnuté v položke „Zisk z obchodovania“</w:t>
      </w:r>
      <w:r w:rsidRPr="0088338F">
        <w:rPr>
          <w:rFonts w:ascii="Arial" w:hAnsi="Arial" w:cs="Arial"/>
          <w:sz w:val="20"/>
          <w:szCs w:val="20"/>
        </w:rPr>
        <w:t>. Úrokové výnosy získané z držby cenných papierov určených na obchodovanie sa vykážu pomocou efektívnej úrokovej miery ako výnosové úroky vo výkaze ziskov a strát v položke „Úrokové výnosy a obdobné výnosy“. Dividendy získané z držby finančných investícií sa vykazujú vo výkaze z</w:t>
      </w:r>
      <w:r w:rsidR="004233A1" w:rsidRPr="0088338F">
        <w:rPr>
          <w:rFonts w:ascii="Arial" w:hAnsi="Arial" w:cs="Arial"/>
          <w:sz w:val="20"/>
          <w:szCs w:val="20"/>
        </w:rPr>
        <w:t>iskov a strát v položke „Zisk z </w:t>
      </w:r>
      <w:r w:rsidRPr="0088338F">
        <w:rPr>
          <w:rFonts w:ascii="Arial" w:hAnsi="Arial" w:cs="Arial"/>
          <w:sz w:val="20"/>
          <w:szCs w:val="20"/>
        </w:rPr>
        <w:t>obchodovania“ v momente vzniku práva na úhradu.</w:t>
      </w:r>
    </w:p>
    <w:p w14:paraId="5000ABD3" w14:textId="77777777" w:rsidR="00116B16" w:rsidRPr="0088338F" w:rsidRDefault="00116B16" w:rsidP="000D5861">
      <w:pPr>
        <w:jc w:val="both"/>
        <w:rPr>
          <w:rFonts w:ascii="Arial" w:hAnsi="Arial" w:cs="Arial"/>
          <w:sz w:val="16"/>
          <w:szCs w:val="16"/>
        </w:rPr>
      </w:pPr>
    </w:p>
    <w:p w14:paraId="44CC9638" w14:textId="77777777" w:rsidR="000D5861" w:rsidRPr="0088338F" w:rsidRDefault="000D5861" w:rsidP="000D5861">
      <w:pPr>
        <w:jc w:val="both"/>
        <w:rPr>
          <w:rFonts w:ascii="Arial" w:hAnsi="Arial" w:cs="Arial"/>
          <w:sz w:val="20"/>
        </w:rPr>
      </w:pPr>
      <w:r w:rsidRPr="0088338F">
        <w:rPr>
          <w:rFonts w:ascii="Arial" w:hAnsi="Arial" w:cs="Arial"/>
          <w:sz w:val="20"/>
        </w:rPr>
        <w:t>Finančné deriváty zahŕňajú menové a úrokové swapy, menové a úrokové forwardy, FRA a menové opcie (nákupné i predajné) a ostatné finančné deriváty</w:t>
      </w:r>
      <w:r w:rsidR="00DA53D4" w:rsidRPr="0088338F">
        <w:rPr>
          <w:rFonts w:ascii="Arial" w:hAnsi="Arial" w:cs="Arial"/>
          <w:sz w:val="20"/>
        </w:rPr>
        <w:t xml:space="preserve"> pre účely </w:t>
      </w:r>
      <w:r w:rsidR="00116B16" w:rsidRPr="0088338F">
        <w:rPr>
          <w:rFonts w:ascii="Arial" w:hAnsi="Arial" w:cs="Arial"/>
          <w:sz w:val="20"/>
        </w:rPr>
        <w:t xml:space="preserve">obchodovania a </w:t>
      </w:r>
      <w:r w:rsidR="00DA53D4" w:rsidRPr="0088338F">
        <w:rPr>
          <w:rFonts w:ascii="Arial" w:hAnsi="Arial" w:cs="Arial"/>
          <w:sz w:val="20"/>
        </w:rPr>
        <w:t>riadeni</w:t>
      </w:r>
      <w:r w:rsidR="00116B16" w:rsidRPr="0088338F">
        <w:rPr>
          <w:rFonts w:ascii="Arial" w:hAnsi="Arial" w:cs="Arial"/>
          <w:sz w:val="20"/>
        </w:rPr>
        <w:t>a</w:t>
      </w:r>
      <w:r w:rsidR="00DA53D4" w:rsidRPr="0088338F">
        <w:rPr>
          <w:rFonts w:ascii="Arial" w:hAnsi="Arial" w:cs="Arial"/>
          <w:sz w:val="20"/>
        </w:rPr>
        <w:t xml:space="preserve"> rizika úrokových sadzieb a kurzového rizika. </w:t>
      </w:r>
      <w:r w:rsidRPr="0088338F">
        <w:rPr>
          <w:rFonts w:ascii="Arial" w:hAnsi="Arial" w:cs="Arial"/>
          <w:sz w:val="20"/>
        </w:rPr>
        <w:t xml:space="preserve">Finančné deriváty sa vykazujú v reálnej hodnote. Nerealizované zisky a straty z finančných derivátov sa vykazujú ako „Ostatné aktíva“ alebo „Ostatné záväzky“. Realizované a nerealizované zisky a straty </w:t>
      </w:r>
      <w:r w:rsidR="00116B16" w:rsidRPr="0088338F">
        <w:rPr>
          <w:rFonts w:ascii="Arial" w:hAnsi="Arial" w:cs="Arial"/>
          <w:sz w:val="20"/>
        </w:rPr>
        <w:t xml:space="preserve">z derivátov uzatvorených pre účely obchodovania </w:t>
      </w:r>
      <w:r w:rsidRPr="0088338F">
        <w:rPr>
          <w:rFonts w:ascii="Arial" w:hAnsi="Arial" w:cs="Arial"/>
          <w:sz w:val="20"/>
        </w:rPr>
        <w:t>sú vo výkaze ziskov a strát zahrnuté v položke „Zisk z obchodovania“.</w:t>
      </w:r>
    </w:p>
    <w:p w14:paraId="77ABB0A4" w14:textId="77777777" w:rsidR="00F52799" w:rsidRPr="0088338F" w:rsidRDefault="00F52799" w:rsidP="0058294A">
      <w:pPr>
        <w:jc w:val="both"/>
        <w:rPr>
          <w:rFonts w:ascii="Arial" w:hAnsi="Arial" w:cs="Arial"/>
          <w:sz w:val="20"/>
        </w:rPr>
      </w:pPr>
    </w:p>
    <w:p w14:paraId="10A47CAA" w14:textId="77777777" w:rsidR="00F52799" w:rsidRPr="0088338F" w:rsidRDefault="00F52799" w:rsidP="0058294A">
      <w:pPr>
        <w:jc w:val="both"/>
        <w:rPr>
          <w:rFonts w:ascii="Arial" w:hAnsi="Arial" w:cs="Arial"/>
          <w:sz w:val="20"/>
          <w:szCs w:val="20"/>
        </w:rPr>
      </w:pPr>
      <w:r w:rsidRPr="0088338F">
        <w:rPr>
          <w:rFonts w:ascii="Arial" w:hAnsi="Arial" w:cs="Arial"/>
          <w:sz w:val="20"/>
          <w:szCs w:val="20"/>
        </w:rPr>
        <w:t xml:space="preserve">Deriváty držané </w:t>
      </w:r>
      <w:r w:rsidR="00116B16" w:rsidRPr="0088338F">
        <w:rPr>
          <w:rFonts w:ascii="Arial" w:hAnsi="Arial" w:cs="Arial"/>
          <w:sz w:val="20"/>
          <w:szCs w:val="20"/>
        </w:rPr>
        <w:t xml:space="preserve">ako zabezpečovacie nástroje </w:t>
      </w:r>
      <w:r w:rsidRPr="0088338F">
        <w:rPr>
          <w:rFonts w:ascii="Arial" w:hAnsi="Arial" w:cs="Arial"/>
          <w:sz w:val="20"/>
          <w:szCs w:val="20"/>
        </w:rPr>
        <w:t>pre účely riadenia rizika sú preceňované na reálnu hodnotu na konci každého účtovného obdobia. Vysporiadanie zmien ich reálnej hodnoty závisí od ich klasifikácií do nasledovných kategórií:</w:t>
      </w:r>
    </w:p>
    <w:p w14:paraId="114F4D9E" w14:textId="77777777" w:rsidR="00D55A1F" w:rsidRPr="0088338F" w:rsidRDefault="00D55A1F" w:rsidP="0058294A">
      <w:pPr>
        <w:jc w:val="both"/>
        <w:rPr>
          <w:rFonts w:ascii="Arial" w:hAnsi="Arial" w:cs="Arial"/>
          <w:sz w:val="20"/>
          <w:szCs w:val="20"/>
        </w:rPr>
      </w:pPr>
    </w:p>
    <w:p w14:paraId="2A61614B" w14:textId="77777777" w:rsidR="00F52799" w:rsidRPr="0088338F" w:rsidRDefault="00F52799" w:rsidP="0058294A">
      <w:pPr>
        <w:jc w:val="both"/>
        <w:rPr>
          <w:rFonts w:ascii="Arial" w:hAnsi="Arial" w:cs="Arial"/>
          <w:i/>
          <w:sz w:val="20"/>
          <w:szCs w:val="20"/>
        </w:rPr>
      </w:pPr>
      <w:r w:rsidRPr="0088338F">
        <w:rPr>
          <w:rFonts w:ascii="Arial" w:hAnsi="Arial" w:cs="Arial"/>
          <w:i/>
          <w:sz w:val="20"/>
          <w:szCs w:val="20"/>
        </w:rPr>
        <w:t>(i) Zabezpečenie reálnej hodnoty (fair value hedge)</w:t>
      </w:r>
    </w:p>
    <w:p w14:paraId="74DE4B3E" w14:textId="77777777" w:rsidR="00F52799" w:rsidRPr="0088338F" w:rsidRDefault="00F52799" w:rsidP="0058294A">
      <w:pPr>
        <w:jc w:val="both"/>
        <w:rPr>
          <w:rFonts w:ascii="Arial" w:hAnsi="Arial" w:cs="Arial"/>
          <w:sz w:val="20"/>
          <w:szCs w:val="20"/>
        </w:rPr>
      </w:pPr>
      <w:r w:rsidRPr="0088338F">
        <w:rPr>
          <w:rFonts w:ascii="Arial" w:hAnsi="Arial" w:cs="Arial"/>
          <w:sz w:val="20"/>
          <w:szCs w:val="20"/>
        </w:rPr>
        <w:t xml:space="preserve">Ak je derivát určený na zabezpečenie vystaveniu sa zmenám v reálnej hodnote vykázaného majetku alebo záväzku alebo pevného </w:t>
      </w:r>
      <w:r w:rsidR="00851FFE" w:rsidRPr="0088338F">
        <w:rPr>
          <w:rFonts w:ascii="Arial" w:hAnsi="Arial" w:cs="Arial"/>
          <w:sz w:val="20"/>
          <w:szCs w:val="20"/>
        </w:rPr>
        <w:t xml:space="preserve">neodvolateľného </w:t>
      </w:r>
      <w:r w:rsidRPr="0088338F">
        <w:rPr>
          <w:rFonts w:ascii="Arial" w:hAnsi="Arial" w:cs="Arial"/>
          <w:sz w:val="20"/>
          <w:szCs w:val="20"/>
        </w:rPr>
        <w:t>podsúvahového záväzku, zmeny v reálnej hodnote derivátu sú vykázané okamžite vo vý</w:t>
      </w:r>
      <w:r w:rsidR="00116B16" w:rsidRPr="0088338F">
        <w:rPr>
          <w:rFonts w:ascii="Arial" w:hAnsi="Arial" w:cs="Arial"/>
          <w:sz w:val="20"/>
          <w:szCs w:val="20"/>
        </w:rPr>
        <w:t>kaze ziskov a strát</w:t>
      </w:r>
      <w:r w:rsidRPr="0088338F">
        <w:rPr>
          <w:rFonts w:ascii="Arial" w:hAnsi="Arial" w:cs="Arial"/>
          <w:sz w:val="20"/>
          <w:szCs w:val="20"/>
        </w:rPr>
        <w:t xml:space="preserve"> spolu so zmenami v reálnej hodnote zabezpečovanej položky, ktoré sú priamo priraditeľné k zabezpečovanému riziku (v tom istom riadku výkazu ziskov a strát ako zabezpečovaná položka).</w:t>
      </w:r>
    </w:p>
    <w:p w14:paraId="0B293BC1" w14:textId="77777777" w:rsidR="00246798" w:rsidRPr="0088338F" w:rsidRDefault="00246798" w:rsidP="0058294A">
      <w:pPr>
        <w:jc w:val="both"/>
        <w:rPr>
          <w:rFonts w:ascii="Arial" w:hAnsi="Arial" w:cs="Arial"/>
          <w:sz w:val="20"/>
          <w:szCs w:val="20"/>
        </w:rPr>
      </w:pPr>
    </w:p>
    <w:p w14:paraId="0EF970EE" w14:textId="4C845121" w:rsidR="00F52799" w:rsidRPr="0088338F" w:rsidRDefault="00F52799" w:rsidP="0058294A">
      <w:pPr>
        <w:jc w:val="both"/>
        <w:rPr>
          <w:rFonts w:ascii="Arial" w:hAnsi="Arial" w:cs="Arial"/>
          <w:sz w:val="20"/>
          <w:szCs w:val="20"/>
        </w:rPr>
      </w:pPr>
      <w:r w:rsidRPr="0088338F">
        <w:rPr>
          <w:rFonts w:ascii="Arial" w:hAnsi="Arial" w:cs="Arial"/>
          <w:sz w:val="20"/>
          <w:szCs w:val="20"/>
        </w:rPr>
        <w:t>Ak skončí platnosť derivátu alebo sa derivát predá, zruší alebo uplatní, derivát nespĺňa kritériá pre účtovanie o zabezpečení reálnej hodnoty, alebo sa jeho vykazovanie zruší, účtovanie o</w:t>
      </w:r>
      <w:r w:rsidR="00116B16" w:rsidRPr="0088338F">
        <w:rPr>
          <w:rFonts w:ascii="Arial" w:hAnsi="Arial" w:cs="Arial"/>
          <w:sz w:val="20"/>
          <w:szCs w:val="20"/>
        </w:rPr>
        <w:t> zabezpečovacom nástroji</w:t>
      </w:r>
      <w:r w:rsidRPr="0088338F">
        <w:rPr>
          <w:rFonts w:ascii="Arial" w:hAnsi="Arial" w:cs="Arial"/>
          <w:sz w:val="20"/>
          <w:szCs w:val="20"/>
        </w:rPr>
        <w:t xml:space="preserve"> je ukončené. Všetky úpravy zabezpečovanej položky, ktorá je vykazovaná pomocou metódy efektívnej úrokovej miery, sú umorené cez výnosy ako súčasť prepočítanej efektívnej úrokovej miery pre zostávajúcu dobu životnosti danej položky.</w:t>
      </w:r>
    </w:p>
    <w:p w14:paraId="126E010D" w14:textId="77777777" w:rsidR="006E610F" w:rsidRPr="0088338F" w:rsidRDefault="006E610F" w:rsidP="0058294A">
      <w:pPr>
        <w:jc w:val="both"/>
        <w:rPr>
          <w:rFonts w:ascii="Arial" w:hAnsi="Arial" w:cs="Arial"/>
          <w:i/>
          <w:sz w:val="20"/>
        </w:rPr>
      </w:pPr>
    </w:p>
    <w:p w14:paraId="212B181B" w14:textId="77777777" w:rsidR="009773B7" w:rsidRPr="0088338F" w:rsidRDefault="009773B7" w:rsidP="0058294A">
      <w:pPr>
        <w:jc w:val="both"/>
        <w:rPr>
          <w:rFonts w:ascii="Arial" w:hAnsi="Arial" w:cs="Arial"/>
          <w:i/>
          <w:sz w:val="20"/>
        </w:rPr>
      </w:pPr>
      <w:r w:rsidRPr="0088338F">
        <w:rPr>
          <w:rFonts w:ascii="Arial" w:hAnsi="Arial" w:cs="Arial"/>
          <w:i/>
          <w:sz w:val="20"/>
        </w:rPr>
        <w:t>(ii) Zabezpečenie peňažných tokov (Cash flow hedge)</w:t>
      </w:r>
    </w:p>
    <w:p w14:paraId="0D48891F" w14:textId="77777777" w:rsidR="009773B7" w:rsidRPr="0088338F" w:rsidRDefault="009773B7" w:rsidP="0058294A">
      <w:pPr>
        <w:jc w:val="both"/>
        <w:rPr>
          <w:rFonts w:ascii="Arial" w:hAnsi="Arial" w:cs="Arial"/>
          <w:sz w:val="20"/>
        </w:rPr>
      </w:pPr>
      <w:r w:rsidRPr="0088338F">
        <w:rPr>
          <w:rFonts w:ascii="Arial" w:hAnsi="Arial" w:cs="Arial"/>
          <w:sz w:val="20"/>
        </w:rPr>
        <w:t>Ak je derivát určený na zabezpečenie vystaveniu sa variability peňažných tokov priraditeľnej konkrétnemu riziku spojenému s vykázaným majetkom alebo záväzkom alebo vysoko pravdepodobnej predpokladanej transakcie, ktorá môže mať vplyv na výnosy, efektívna časť zmien reálnej hodnoty derivátu je vykázaná priamo vo vlastnom imaní. Suma vykázaná vo vlastnom imaní je odúčtovaná a zahrnutá do vý</w:t>
      </w:r>
      <w:r w:rsidR="00116B16" w:rsidRPr="0088338F">
        <w:rPr>
          <w:rFonts w:ascii="Arial" w:hAnsi="Arial" w:cs="Arial"/>
          <w:sz w:val="20"/>
        </w:rPr>
        <w:t>kazu ziskov a strát</w:t>
      </w:r>
      <w:r w:rsidRPr="0088338F">
        <w:rPr>
          <w:rFonts w:ascii="Arial" w:hAnsi="Arial" w:cs="Arial"/>
          <w:sz w:val="20"/>
        </w:rPr>
        <w:t xml:space="preserve"> v tom období, kedy zabezpečované peňažné toky ovplyvnia vý</w:t>
      </w:r>
      <w:r w:rsidR="00116B16" w:rsidRPr="0088338F">
        <w:rPr>
          <w:rFonts w:ascii="Arial" w:hAnsi="Arial" w:cs="Arial"/>
          <w:sz w:val="20"/>
        </w:rPr>
        <w:t>kaz ziskov a strát</w:t>
      </w:r>
      <w:r w:rsidRPr="0088338F">
        <w:rPr>
          <w:rFonts w:ascii="Arial" w:hAnsi="Arial" w:cs="Arial"/>
          <w:sz w:val="20"/>
        </w:rPr>
        <w:t xml:space="preserve"> v tom istom riadku ako zabezpečovaná položka.</w:t>
      </w:r>
    </w:p>
    <w:p w14:paraId="32C11E6A" w14:textId="5D152252" w:rsidR="008544EC" w:rsidRPr="0088338F" w:rsidRDefault="008544EC">
      <w:pPr>
        <w:rPr>
          <w:rFonts w:ascii="Arial" w:hAnsi="Arial" w:cs="Arial"/>
          <w:sz w:val="20"/>
        </w:rPr>
      </w:pPr>
    </w:p>
    <w:p w14:paraId="35B88C2B" w14:textId="77777777" w:rsidR="009773B7" w:rsidRPr="0088338F" w:rsidRDefault="009773B7" w:rsidP="0058294A">
      <w:pPr>
        <w:jc w:val="both"/>
        <w:rPr>
          <w:rFonts w:ascii="Arial" w:hAnsi="Arial" w:cs="Arial"/>
          <w:sz w:val="20"/>
        </w:rPr>
      </w:pPr>
      <w:r w:rsidRPr="0088338F">
        <w:rPr>
          <w:rFonts w:ascii="Arial" w:hAnsi="Arial" w:cs="Arial"/>
          <w:sz w:val="20"/>
        </w:rPr>
        <w:t>Neefektívna časť zmien reálnej hodnoty derivátu je vykázaná okamžite vo výkaze ziskov a strát.</w:t>
      </w:r>
    </w:p>
    <w:p w14:paraId="03E6284A" w14:textId="77777777" w:rsidR="00D7583E" w:rsidRPr="0088338F" w:rsidRDefault="00D7583E" w:rsidP="0058294A">
      <w:pPr>
        <w:jc w:val="both"/>
        <w:rPr>
          <w:rFonts w:ascii="Arial" w:hAnsi="Arial" w:cs="Arial"/>
          <w:sz w:val="20"/>
        </w:rPr>
      </w:pPr>
    </w:p>
    <w:p w14:paraId="2FA44A1E" w14:textId="77777777" w:rsidR="009773B7" w:rsidRPr="0088338F" w:rsidRDefault="009773B7" w:rsidP="0058294A">
      <w:pPr>
        <w:jc w:val="both"/>
        <w:rPr>
          <w:rFonts w:ascii="Arial" w:hAnsi="Arial" w:cs="Arial"/>
          <w:sz w:val="20"/>
        </w:rPr>
      </w:pPr>
      <w:r w:rsidRPr="0088338F">
        <w:rPr>
          <w:rFonts w:ascii="Arial" w:hAnsi="Arial" w:cs="Arial"/>
          <w:sz w:val="20"/>
        </w:rPr>
        <w:t>Ak skončí platnosť derivátu alebo derivát je predaný, zrušený alebo uplatnený, ak derivát nespĺňa kritériá pre účtovanie o zabezpečení peňažných tokov, alebo jeho vykazovanie je zrušené, účtovanie o hedgingu je ukončené a suma vykázaná vo vlastnom imaní zostáva vo vlastnom imaní dovtedy, kým predpokladaná transakcia neovplyvní výnosy. Ak sa neočakáva, že sa predpokladaná transakcia uskutoční, účtovanie o hedgingu je ukončené a zostatok vo vlastnom imaní je odúčtovaný cez výkaz ziskov a strát.</w:t>
      </w:r>
    </w:p>
    <w:p w14:paraId="4CBC3352" w14:textId="77777777" w:rsidR="009773B7" w:rsidRPr="0088338F" w:rsidRDefault="009773B7" w:rsidP="0058294A">
      <w:pPr>
        <w:jc w:val="both"/>
        <w:rPr>
          <w:rFonts w:ascii="Arial" w:hAnsi="Arial" w:cs="Arial"/>
          <w:sz w:val="20"/>
          <w:szCs w:val="20"/>
        </w:rPr>
      </w:pPr>
    </w:p>
    <w:p w14:paraId="3CF3921C" w14:textId="77777777" w:rsidR="008E6838" w:rsidRPr="0088338F" w:rsidRDefault="008E6838">
      <w:pPr>
        <w:rPr>
          <w:rFonts w:ascii="Arial" w:hAnsi="Arial" w:cs="Arial"/>
          <w:sz w:val="20"/>
          <w:szCs w:val="20"/>
        </w:rPr>
      </w:pPr>
      <w:r w:rsidRPr="0088338F">
        <w:rPr>
          <w:rFonts w:ascii="Arial" w:hAnsi="Arial" w:cs="Arial"/>
          <w:sz w:val="20"/>
          <w:szCs w:val="20"/>
        </w:rPr>
        <w:br w:type="page"/>
      </w:r>
    </w:p>
    <w:p w14:paraId="6B09A322" w14:textId="0ED282E0" w:rsidR="00F52799" w:rsidRPr="0088338F" w:rsidRDefault="00F52799" w:rsidP="0058294A">
      <w:pPr>
        <w:jc w:val="both"/>
        <w:rPr>
          <w:rFonts w:ascii="Arial" w:hAnsi="Arial" w:cs="Arial"/>
          <w:sz w:val="20"/>
          <w:szCs w:val="20"/>
        </w:rPr>
      </w:pPr>
      <w:r w:rsidRPr="0088338F">
        <w:rPr>
          <w:rFonts w:ascii="Arial" w:hAnsi="Arial" w:cs="Arial"/>
          <w:sz w:val="20"/>
          <w:szCs w:val="20"/>
        </w:rPr>
        <w:lastRenderedPageBreak/>
        <w:t>Pri vzniku zabezpečovacieho vzťahu sa zdokumentuje vzťah medzi zabezpečovacím nástrojom a zabezpečenou položkou, ciele riadenia rizika a stratégiu realizácie rôznych zabezpečovacích operácií. Od vzniku zabezpečenia banka priebežne dokumentuje, či je zabezpečovací nástroj vysoko efektívny pri kompenzácii zmien reálnej hodnoty alebo peňažných tokov zabezpečenej položky.</w:t>
      </w:r>
    </w:p>
    <w:p w14:paraId="5F0CD110" w14:textId="4C8FB88B" w:rsidR="00246798" w:rsidRPr="0088338F" w:rsidRDefault="00246798">
      <w:pPr>
        <w:rPr>
          <w:rFonts w:ascii="Arial" w:hAnsi="Arial" w:cs="Arial"/>
          <w:sz w:val="20"/>
          <w:szCs w:val="20"/>
        </w:rPr>
      </w:pPr>
    </w:p>
    <w:p w14:paraId="6302055E" w14:textId="47E609A5" w:rsidR="009773B7" w:rsidRPr="0088338F" w:rsidRDefault="00521274" w:rsidP="0058294A">
      <w:pPr>
        <w:jc w:val="both"/>
        <w:rPr>
          <w:rFonts w:ascii="Arial" w:hAnsi="Arial" w:cs="Arial"/>
          <w:sz w:val="20"/>
          <w:szCs w:val="20"/>
        </w:rPr>
      </w:pPr>
      <w:r w:rsidRPr="0088338F">
        <w:rPr>
          <w:rFonts w:ascii="Arial" w:hAnsi="Arial" w:cs="Arial"/>
          <w:sz w:val="20"/>
          <w:szCs w:val="20"/>
        </w:rPr>
        <w:t>Zabezpečovacie deriváty sa definujú ako deriváty, ktoré zodpovedajú stratégii banky v oblasti riadenia rizík, zabezpečovací vzťah je formálne zdokumentovaný a zabezpečenie je efektívne, t. j. pri vzniku a počas jeho trvania sa zmeny reálnej hodnoty alebo peňažných tokov zabezpečených a zabezpečujúcich položiek takmer úplne vzájomne vykompenzujú s konečnými výsledkami v rozpätí od 80 % do 125 %.</w:t>
      </w:r>
    </w:p>
    <w:p w14:paraId="5F94C448" w14:textId="77777777" w:rsidR="00F52799" w:rsidRPr="0088338F" w:rsidRDefault="00F52799" w:rsidP="0058294A">
      <w:pPr>
        <w:jc w:val="both"/>
        <w:rPr>
          <w:rFonts w:ascii="Arial" w:hAnsi="Arial" w:cs="Arial"/>
          <w:sz w:val="20"/>
          <w:szCs w:val="20"/>
        </w:rPr>
      </w:pPr>
    </w:p>
    <w:p w14:paraId="693AF5E4" w14:textId="77777777" w:rsidR="002C0834" w:rsidRPr="0088338F" w:rsidRDefault="002C0834" w:rsidP="0058294A">
      <w:pPr>
        <w:jc w:val="both"/>
        <w:rPr>
          <w:rFonts w:ascii="Arial" w:hAnsi="Arial" w:cs="Arial"/>
          <w:i/>
          <w:sz w:val="20"/>
        </w:rPr>
      </w:pPr>
      <w:r w:rsidRPr="0088338F">
        <w:rPr>
          <w:rFonts w:ascii="Arial" w:hAnsi="Arial" w:cs="Arial"/>
          <w:i/>
          <w:sz w:val="20"/>
        </w:rPr>
        <w:t>Vložené deriváty</w:t>
      </w:r>
    </w:p>
    <w:p w14:paraId="15F80FB6" w14:textId="77777777" w:rsidR="002C0834" w:rsidRPr="0088338F" w:rsidRDefault="002C0834" w:rsidP="0058294A">
      <w:pPr>
        <w:tabs>
          <w:tab w:val="left" w:pos="1134"/>
          <w:tab w:val="right" w:pos="4820"/>
          <w:tab w:val="right" w:pos="6521"/>
          <w:tab w:val="left" w:pos="8222"/>
        </w:tabs>
        <w:jc w:val="both"/>
        <w:rPr>
          <w:rFonts w:ascii="Arial" w:hAnsi="Arial" w:cs="Arial"/>
          <w:sz w:val="20"/>
          <w:szCs w:val="20"/>
        </w:rPr>
      </w:pPr>
      <w:r w:rsidRPr="0088338F">
        <w:rPr>
          <w:rFonts w:ascii="Arial" w:hAnsi="Arial" w:cs="Arial"/>
          <w:sz w:val="20"/>
          <w:szCs w:val="20"/>
        </w:rPr>
        <w:t>Deriváty môžu byť vložené do inej zmluvnej dohody („základná zmluva“). Banka účtuje o vložených derivátoch oddelene od základnej zmluvy, ak základná zmluva nie je samotne vykazovaná v reálnej hodnote do výnosov a charakteristika vloženého derivátu nesúvisí jasne a značne so základnou zmluvou. Oddelené vložené deriváty sú účtované v závislosti od ich klasifikácie a sú vykázané v súvahe spolu so základnou zmluvou.</w:t>
      </w:r>
    </w:p>
    <w:p w14:paraId="687F7176" w14:textId="77777777" w:rsidR="00075098" w:rsidRPr="0088338F" w:rsidRDefault="00075098" w:rsidP="00A17B0F">
      <w:pPr>
        <w:tabs>
          <w:tab w:val="left" w:pos="0"/>
          <w:tab w:val="right" w:pos="4820"/>
          <w:tab w:val="right" w:pos="6521"/>
          <w:tab w:val="right" w:pos="8222"/>
        </w:tabs>
        <w:jc w:val="both"/>
        <w:rPr>
          <w:rFonts w:ascii="Arial" w:hAnsi="Arial" w:cs="Arial"/>
          <w:b/>
          <w:sz w:val="20"/>
          <w:szCs w:val="20"/>
        </w:rPr>
      </w:pPr>
    </w:p>
    <w:p w14:paraId="7C30AC7B"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(v</w:t>
      </w:r>
      <w:r w:rsidR="002D7B2E" w:rsidRPr="0088338F">
        <w:rPr>
          <w:rFonts w:ascii="Arial" w:hAnsi="Arial" w:cs="Arial"/>
          <w:b/>
          <w:sz w:val="20"/>
          <w:szCs w:val="20"/>
        </w:rPr>
        <w:t>i</w:t>
      </w:r>
      <w:r w:rsidRPr="0088338F">
        <w:rPr>
          <w:rFonts w:ascii="Arial" w:hAnsi="Arial" w:cs="Arial"/>
          <w:b/>
          <w:sz w:val="20"/>
          <w:szCs w:val="20"/>
        </w:rPr>
        <w:t xml:space="preserve">) </w:t>
      </w:r>
      <w:r w:rsidR="000E0D50" w:rsidRPr="0088338F">
        <w:rPr>
          <w:rFonts w:ascii="Arial" w:hAnsi="Arial" w:cs="Arial"/>
          <w:b/>
          <w:sz w:val="20"/>
          <w:szCs w:val="20"/>
        </w:rPr>
        <w:t>Cenné papiere k</w:t>
      </w:r>
      <w:r w:rsidRPr="0088338F">
        <w:rPr>
          <w:rFonts w:ascii="Arial" w:hAnsi="Arial" w:cs="Arial"/>
          <w:b/>
          <w:sz w:val="20"/>
          <w:szCs w:val="20"/>
        </w:rPr>
        <w:t xml:space="preserve"> dispozícii na predaj</w:t>
      </w:r>
    </w:p>
    <w:p w14:paraId="7255EB1C" w14:textId="77777777" w:rsidR="00A17B0F" w:rsidRPr="0088338F" w:rsidRDefault="000E0D50"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Cenné papiere</w:t>
      </w:r>
      <w:r w:rsidR="00A17B0F" w:rsidRPr="0088338F">
        <w:rPr>
          <w:rFonts w:ascii="Arial" w:hAnsi="Arial" w:cs="Arial"/>
          <w:sz w:val="20"/>
          <w:szCs w:val="20"/>
        </w:rPr>
        <w:t xml:space="preserve"> k dispozícii na predaj sú všetky </w:t>
      </w:r>
      <w:r w:rsidRPr="0088338F">
        <w:rPr>
          <w:rFonts w:ascii="Arial" w:hAnsi="Arial" w:cs="Arial"/>
          <w:sz w:val="20"/>
          <w:szCs w:val="20"/>
        </w:rPr>
        <w:t>cenné papiere</w:t>
      </w:r>
      <w:r w:rsidR="00A17B0F" w:rsidRPr="0088338F">
        <w:rPr>
          <w:rFonts w:ascii="Arial" w:hAnsi="Arial" w:cs="Arial"/>
          <w:sz w:val="20"/>
          <w:szCs w:val="20"/>
        </w:rPr>
        <w:t>, ktoré sa pri prvotnom vykázaní zatriedia do tohto portfólia. Taktiež sa do tohto portfólia zatriedia tie finančné investície, ktoré nespĺňajú podmienky na zatriedenie do jednej z kategóri</w:t>
      </w:r>
      <w:r w:rsidR="008242B1" w:rsidRPr="0088338F">
        <w:rPr>
          <w:rFonts w:ascii="Arial" w:hAnsi="Arial" w:cs="Arial"/>
          <w:sz w:val="20"/>
          <w:szCs w:val="20"/>
        </w:rPr>
        <w:t>í</w:t>
      </w:r>
      <w:r w:rsidR="00A17B0F" w:rsidRPr="0088338F">
        <w:rPr>
          <w:rFonts w:ascii="Arial" w:hAnsi="Arial" w:cs="Arial"/>
          <w:sz w:val="20"/>
          <w:szCs w:val="20"/>
        </w:rPr>
        <w:t>: investície držané do splatnosti</w:t>
      </w:r>
      <w:r w:rsidR="00355A10" w:rsidRPr="0088338F">
        <w:rPr>
          <w:rFonts w:ascii="Arial" w:hAnsi="Arial" w:cs="Arial"/>
          <w:sz w:val="20"/>
          <w:szCs w:val="20"/>
        </w:rPr>
        <w:t>, finančné nástroje vykazované v reálnych hodnotách cez výsledovku</w:t>
      </w:r>
      <w:r w:rsidR="00A17B0F" w:rsidRPr="0088338F">
        <w:rPr>
          <w:rFonts w:ascii="Arial" w:hAnsi="Arial" w:cs="Arial"/>
          <w:sz w:val="20"/>
          <w:szCs w:val="20"/>
        </w:rPr>
        <w:t xml:space="preserve"> alebo pohľadávky voči bankám a pohľadávky voči  klientom. Patria sem akciové nástroje, investície do fondov a na peňažných trhoch a iné dlhové nástroje.</w:t>
      </w:r>
    </w:p>
    <w:p w14:paraId="652977E6" w14:textId="77777777" w:rsidR="00A17B0F" w:rsidRPr="0088338F" w:rsidRDefault="00A17B0F" w:rsidP="00A17B0F">
      <w:pPr>
        <w:tabs>
          <w:tab w:val="left" w:pos="0"/>
          <w:tab w:val="right" w:pos="4820"/>
          <w:tab w:val="right" w:pos="6521"/>
          <w:tab w:val="right" w:pos="8222"/>
        </w:tabs>
        <w:jc w:val="both"/>
        <w:rPr>
          <w:rFonts w:ascii="Arial" w:hAnsi="Arial" w:cs="Arial"/>
          <w:sz w:val="16"/>
          <w:szCs w:val="16"/>
        </w:rPr>
      </w:pPr>
    </w:p>
    <w:p w14:paraId="02E98D99" w14:textId="73ED729E" w:rsidR="00A17B0F" w:rsidRPr="0088338F" w:rsidRDefault="000E0D50"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Po prvotnom vykázaní sa cenné papiere</w:t>
      </w:r>
      <w:r w:rsidR="00A17B0F" w:rsidRPr="0088338F">
        <w:rPr>
          <w:rFonts w:ascii="Arial" w:hAnsi="Arial" w:cs="Arial"/>
          <w:sz w:val="20"/>
          <w:szCs w:val="20"/>
        </w:rPr>
        <w:t xml:space="preserve"> k dispozícii na predaj oceňujú v reálnej hodnote. Nerealizované zisky a straty sa účtujú priamo vo vlastnom imaní v položke „Oceňovacie rozdiely</w:t>
      </w:r>
      <w:r w:rsidRPr="0088338F">
        <w:rPr>
          <w:rFonts w:ascii="Arial" w:hAnsi="Arial" w:cs="Arial"/>
          <w:sz w:val="20"/>
          <w:szCs w:val="20"/>
        </w:rPr>
        <w:t xml:space="preserve"> z cenných papierov k dispozícii na predaj</w:t>
      </w:r>
      <w:r w:rsidR="00A94341" w:rsidRPr="0088338F">
        <w:rPr>
          <w:rFonts w:ascii="Arial" w:hAnsi="Arial" w:cs="Arial"/>
          <w:sz w:val="20"/>
          <w:szCs w:val="20"/>
        </w:rPr>
        <w:t>,</w:t>
      </w:r>
      <w:r w:rsidRPr="0088338F">
        <w:rPr>
          <w:rFonts w:ascii="Arial" w:hAnsi="Arial" w:cs="Arial"/>
          <w:sz w:val="20"/>
          <w:szCs w:val="20"/>
        </w:rPr>
        <w:t xml:space="preserve"> vrátane odloženej dane</w:t>
      </w:r>
      <w:r w:rsidR="00A17B0F" w:rsidRPr="0088338F">
        <w:rPr>
          <w:rFonts w:ascii="Arial" w:hAnsi="Arial" w:cs="Arial"/>
          <w:sz w:val="20"/>
          <w:szCs w:val="20"/>
        </w:rPr>
        <w:t>“. Keď sa príslušné finančné</w:t>
      </w:r>
      <w:r w:rsidR="007E62C3" w:rsidRPr="0088338F">
        <w:rPr>
          <w:rFonts w:ascii="Arial" w:hAnsi="Arial" w:cs="Arial"/>
          <w:sz w:val="20"/>
          <w:szCs w:val="20"/>
        </w:rPr>
        <w:t xml:space="preserve"> </w:t>
      </w:r>
      <w:r w:rsidR="00A17B0F" w:rsidRPr="0088338F">
        <w:rPr>
          <w:rFonts w:ascii="Arial" w:hAnsi="Arial" w:cs="Arial"/>
          <w:sz w:val="20"/>
          <w:szCs w:val="20"/>
        </w:rPr>
        <w:t>aktívum predá, kumulatívne zisky alebo straty predtým vykázané vo vlastnom imaní sa vykážu vo výka</w:t>
      </w:r>
      <w:r w:rsidR="00BA7A2B" w:rsidRPr="0088338F">
        <w:rPr>
          <w:rFonts w:ascii="Arial" w:hAnsi="Arial" w:cs="Arial"/>
          <w:sz w:val="20"/>
          <w:szCs w:val="20"/>
        </w:rPr>
        <w:t>ze ziskov a strát v položke</w:t>
      </w:r>
      <w:r w:rsidR="00A17B0F" w:rsidRPr="0088338F">
        <w:rPr>
          <w:rFonts w:ascii="Arial" w:hAnsi="Arial" w:cs="Arial"/>
          <w:sz w:val="20"/>
          <w:szCs w:val="20"/>
        </w:rPr>
        <w:t xml:space="preserve"> „</w:t>
      </w:r>
      <w:r w:rsidR="00BA7A2B" w:rsidRPr="0088338F">
        <w:rPr>
          <w:rFonts w:ascii="Arial" w:hAnsi="Arial" w:cs="Arial"/>
          <w:sz w:val="20"/>
          <w:szCs w:val="20"/>
        </w:rPr>
        <w:t>Zisk z obchodovania</w:t>
      </w:r>
      <w:r w:rsidR="00A17B0F" w:rsidRPr="0088338F">
        <w:rPr>
          <w:rFonts w:ascii="Arial" w:hAnsi="Arial" w:cs="Arial"/>
          <w:sz w:val="20"/>
          <w:szCs w:val="20"/>
        </w:rPr>
        <w:t xml:space="preserve">“. Ak </w:t>
      </w:r>
      <w:r w:rsidR="00D90FC3" w:rsidRPr="0088338F">
        <w:rPr>
          <w:rFonts w:ascii="Arial" w:hAnsi="Arial" w:cs="Arial"/>
          <w:sz w:val="20"/>
          <w:szCs w:val="20"/>
        </w:rPr>
        <w:t>b</w:t>
      </w:r>
      <w:r w:rsidR="00A17B0F" w:rsidRPr="0088338F">
        <w:rPr>
          <w:rFonts w:ascii="Arial" w:hAnsi="Arial" w:cs="Arial"/>
          <w:sz w:val="20"/>
          <w:szCs w:val="20"/>
        </w:rPr>
        <w:t>anka vlastní viac než jeden kus rovnakého finančného aktíva, pri účtovaní úbytku daných investícií sa predpokladá</w:t>
      </w:r>
      <w:r w:rsidR="00327BC3" w:rsidRPr="0088338F">
        <w:rPr>
          <w:rFonts w:ascii="Arial" w:hAnsi="Arial" w:cs="Arial"/>
          <w:sz w:val="20"/>
          <w:szCs w:val="20"/>
        </w:rPr>
        <w:t>,</w:t>
      </w:r>
      <w:r w:rsidR="00A17B0F" w:rsidRPr="0088338F">
        <w:rPr>
          <w:rFonts w:ascii="Arial" w:hAnsi="Arial" w:cs="Arial"/>
          <w:sz w:val="20"/>
          <w:szCs w:val="20"/>
        </w:rPr>
        <w:t xml:space="preserve"> že sa predávajú na báze </w:t>
      </w:r>
      <w:r w:rsidR="005A01BC" w:rsidRPr="0088338F">
        <w:rPr>
          <w:rFonts w:ascii="Arial" w:hAnsi="Arial" w:cs="Arial"/>
          <w:sz w:val="20"/>
          <w:szCs w:val="20"/>
        </w:rPr>
        <w:t>priemernej ceny</w:t>
      </w:r>
      <w:r w:rsidR="00A17B0F" w:rsidRPr="0088338F">
        <w:rPr>
          <w:rFonts w:ascii="Arial" w:hAnsi="Arial" w:cs="Arial"/>
          <w:sz w:val="20"/>
          <w:szCs w:val="20"/>
        </w:rPr>
        <w:t>. Úrokové výnosy získané z držby finančných investícií k di</w:t>
      </w:r>
      <w:r w:rsidR="00B022E8" w:rsidRPr="0088338F">
        <w:rPr>
          <w:rFonts w:ascii="Arial" w:hAnsi="Arial" w:cs="Arial"/>
          <w:sz w:val="20"/>
          <w:szCs w:val="20"/>
        </w:rPr>
        <w:t>spo</w:t>
      </w:r>
      <w:r w:rsidR="00A17B0F" w:rsidRPr="0088338F">
        <w:rPr>
          <w:rFonts w:ascii="Arial" w:hAnsi="Arial" w:cs="Arial"/>
          <w:sz w:val="20"/>
          <w:szCs w:val="20"/>
        </w:rPr>
        <w:t>zícii na predaj sa vykážu pomocou efektívnej úrokovej miery ako výnosové úroky vo výkaze ziskov a strát v položke „</w:t>
      </w:r>
      <w:r w:rsidR="005A01BC" w:rsidRPr="0088338F">
        <w:rPr>
          <w:rFonts w:ascii="Arial" w:hAnsi="Arial" w:cs="Arial"/>
          <w:sz w:val="20"/>
          <w:szCs w:val="20"/>
        </w:rPr>
        <w:t>Úrokové výnosy</w:t>
      </w:r>
      <w:r w:rsidR="00A17B0F" w:rsidRPr="0088338F">
        <w:rPr>
          <w:rFonts w:ascii="Arial" w:hAnsi="Arial" w:cs="Arial"/>
          <w:sz w:val="20"/>
          <w:szCs w:val="20"/>
        </w:rPr>
        <w:t xml:space="preserve"> a</w:t>
      </w:r>
      <w:r w:rsidR="00A70C5B" w:rsidRPr="0088338F">
        <w:rPr>
          <w:rFonts w:ascii="Arial" w:hAnsi="Arial" w:cs="Arial"/>
          <w:sz w:val="20"/>
          <w:szCs w:val="20"/>
        </w:rPr>
        <w:t> obdobné</w:t>
      </w:r>
      <w:r w:rsidR="00A17B0F" w:rsidRPr="0088338F">
        <w:rPr>
          <w:rFonts w:ascii="Arial" w:hAnsi="Arial" w:cs="Arial"/>
          <w:sz w:val="20"/>
          <w:szCs w:val="20"/>
        </w:rPr>
        <w:t xml:space="preserve"> výnosy“. Dividendy získané z držby finančných investícií sa vykazujú vo výkaze ziskov a strát v položke „</w:t>
      </w:r>
      <w:r w:rsidR="00246798" w:rsidRPr="0088338F">
        <w:rPr>
          <w:rFonts w:ascii="Arial" w:hAnsi="Arial" w:cs="Arial"/>
          <w:sz w:val="20"/>
          <w:szCs w:val="20"/>
        </w:rPr>
        <w:t>Zisk z </w:t>
      </w:r>
      <w:r w:rsidR="00A70C5B" w:rsidRPr="0088338F">
        <w:rPr>
          <w:rFonts w:ascii="Arial" w:hAnsi="Arial" w:cs="Arial"/>
          <w:sz w:val="20"/>
          <w:szCs w:val="20"/>
        </w:rPr>
        <w:t>obchodovania</w:t>
      </w:r>
      <w:r w:rsidR="00A17B0F" w:rsidRPr="0088338F">
        <w:rPr>
          <w:rFonts w:ascii="Arial" w:hAnsi="Arial" w:cs="Arial"/>
          <w:sz w:val="20"/>
          <w:szCs w:val="20"/>
        </w:rPr>
        <w:t>“ v momente vzniku práva na úhradu. Straty vyplývajúce zo zníženia hodnoty takýchto investícií sa vykazujú vo výkaze ziskov a strát v položke „</w:t>
      </w:r>
      <w:r w:rsidR="007E1861" w:rsidRPr="0088338F">
        <w:rPr>
          <w:rFonts w:ascii="Arial" w:hAnsi="Arial" w:cs="Arial"/>
          <w:sz w:val="20"/>
          <w:szCs w:val="20"/>
          <w:lang w:eastAsia="en-US"/>
        </w:rPr>
        <w:t>R</w:t>
      </w:r>
      <w:r w:rsidR="003C5970" w:rsidRPr="0088338F">
        <w:rPr>
          <w:rFonts w:ascii="Arial" w:hAnsi="Arial" w:cs="Arial"/>
          <w:sz w:val="20"/>
          <w:szCs w:val="20"/>
          <w:lang w:eastAsia="en-US"/>
        </w:rPr>
        <w:t>ozpustenie opravných položiek k cenným papierom</w:t>
      </w:r>
      <w:r w:rsidR="00A17B0F" w:rsidRPr="0088338F">
        <w:rPr>
          <w:rFonts w:ascii="Arial" w:hAnsi="Arial" w:cs="Arial"/>
          <w:sz w:val="20"/>
          <w:szCs w:val="20"/>
        </w:rPr>
        <w:t>“, pričom sa zároveň odúčtujú z vlastného imania (položka „Oceňovacie rozdiely</w:t>
      </w:r>
      <w:r w:rsidR="00B022E8" w:rsidRPr="0088338F">
        <w:rPr>
          <w:rFonts w:ascii="Arial" w:hAnsi="Arial" w:cs="Arial"/>
          <w:sz w:val="20"/>
          <w:szCs w:val="20"/>
        </w:rPr>
        <w:t xml:space="preserve"> z cenných papierov k dispozícii na predaj</w:t>
      </w:r>
      <w:r w:rsidR="00A94341" w:rsidRPr="0088338F">
        <w:rPr>
          <w:rFonts w:ascii="Arial" w:hAnsi="Arial" w:cs="Arial"/>
          <w:sz w:val="20"/>
          <w:szCs w:val="20"/>
        </w:rPr>
        <w:t>,</w:t>
      </w:r>
      <w:r w:rsidR="00B022E8" w:rsidRPr="0088338F">
        <w:rPr>
          <w:rFonts w:ascii="Arial" w:hAnsi="Arial" w:cs="Arial"/>
          <w:sz w:val="20"/>
          <w:szCs w:val="20"/>
        </w:rPr>
        <w:t xml:space="preserve"> vrátane odloženej dane</w:t>
      </w:r>
      <w:r w:rsidR="00A17B0F" w:rsidRPr="0088338F">
        <w:rPr>
          <w:rFonts w:ascii="Arial" w:hAnsi="Arial" w:cs="Arial"/>
          <w:sz w:val="20"/>
          <w:szCs w:val="20"/>
        </w:rPr>
        <w:t>“).</w:t>
      </w:r>
    </w:p>
    <w:p w14:paraId="54E9CE4B" w14:textId="77777777" w:rsidR="00130464" w:rsidRPr="0088338F" w:rsidRDefault="00130464" w:rsidP="00A17B0F">
      <w:pPr>
        <w:tabs>
          <w:tab w:val="left" w:pos="0"/>
          <w:tab w:val="right" w:pos="4820"/>
          <w:tab w:val="right" w:pos="6521"/>
          <w:tab w:val="right" w:pos="8222"/>
        </w:tabs>
        <w:jc w:val="both"/>
        <w:rPr>
          <w:rFonts w:ascii="Arial" w:hAnsi="Arial" w:cs="Arial"/>
          <w:sz w:val="20"/>
          <w:szCs w:val="20"/>
        </w:rPr>
      </w:pPr>
    </w:p>
    <w:p w14:paraId="289BF76E"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(v</w:t>
      </w:r>
      <w:r w:rsidR="002D7B2E" w:rsidRPr="0088338F">
        <w:rPr>
          <w:rFonts w:ascii="Arial" w:hAnsi="Arial" w:cs="Arial"/>
          <w:b/>
          <w:sz w:val="20"/>
          <w:szCs w:val="20"/>
        </w:rPr>
        <w:t>i</w:t>
      </w:r>
      <w:r w:rsidRPr="0088338F">
        <w:rPr>
          <w:rFonts w:ascii="Arial" w:hAnsi="Arial" w:cs="Arial"/>
          <w:b/>
          <w:sz w:val="20"/>
          <w:szCs w:val="20"/>
        </w:rPr>
        <w:t>i) Záväzky voči klientom</w:t>
      </w:r>
      <w:r w:rsidR="00630DFA" w:rsidRPr="0088338F">
        <w:rPr>
          <w:rFonts w:ascii="Arial" w:hAnsi="Arial" w:cs="Arial"/>
          <w:b/>
          <w:sz w:val="20"/>
          <w:szCs w:val="20"/>
        </w:rPr>
        <w:t>,</w:t>
      </w:r>
      <w:r w:rsidRPr="0088338F">
        <w:rPr>
          <w:rFonts w:ascii="Arial" w:hAnsi="Arial" w:cs="Arial"/>
          <w:b/>
          <w:sz w:val="20"/>
          <w:szCs w:val="20"/>
        </w:rPr>
        <w:t> záväzky voči bankám</w:t>
      </w:r>
      <w:r w:rsidR="00630DFA" w:rsidRPr="0088338F">
        <w:rPr>
          <w:rFonts w:ascii="Arial" w:hAnsi="Arial" w:cs="Arial"/>
          <w:b/>
          <w:sz w:val="20"/>
          <w:szCs w:val="20"/>
        </w:rPr>
        <w:t xml:space="preserve"> a záväzky z dlhových cenných papierov</w:t>
      </w:r>
    </w:p>
    <w:p w14:paraId="026FFBD3"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„Záväzky voči klientom“</w:t>
      </w:r>
      <w:r w:rsidR="00630DFA" w:rsidRPr="0088338F">
        <w:rPr>
          <w:rFonts w:ascii="Arial" w:hAnsi="Arial" w:cs="Arial"/>
          <w:sz w:val="20"/>
          <w:szCs w:val="20"/>
        </w:rPr>
        <w:t>,</w:t>
      </w:r>
      <w:r w:rsidRPr="0088338F">
        <w:rPr>
          <w:rFonts w:ascii="Arial" w:hAnsi="Arial" w:cs="Arial"/>
          <w:sz w:val="20"/>
          <w:szCs w:val="20"/>
        </w:rPr>
        <w:t> „Záväzky voči bankám</w:t>
      </w:r>
      <w:r w:rsidR="008242B1" w:rsidRPr="0088338F">
        <w:rPr>
          <w:rFonts w:ascii="Arial" w:hAnsi="Arial" w:cs="Arial"/>
          <w:sz w:val="20"/>
          <w:szCs w:val="20"/>
        </w:rPr>
        <w:t xml:space="preserve">“ </w:t>
      </w:r>
      <w:r w:rsidR="00630DFA" w:rsidRPr="0088338F">
        <w:rPr>
          <w:rFonts w:ascii="Arial" w:hAnsi="Arial" w:cs="Arial"/>
          <w:sz w:val="20"/>
          <w:szCs w:val="20"/>
        </w:rPr>
        <w:t>a „Záväzky z dlhových cenných papierov“</w:t>
      </w:r>
      <w:r w:rsidRPr="0088338F">
        <w:rPr>
          <w:rFonts w:ascii="Arial" w:hAnsi="Arial" w:cs="Arial"/>
          <w:sz w:val="20"/>
          <w:szCs w:val="20"/>
        </w:rPr>
        <w:t xml:space="preserve"> sú tie finančné nástroje, kde z podstaty zmluvnej dohody vyplýva záväzok </w:t>
      </w:r>
      <w:r w:rsidR="005A01BC" w:rsidRPr="0088338F">
        <w:rPr>
          <w:rFonts w:ascii="Arial" w:hAnsi="Arial" w:cs="Arial"/>
          <w:sz w:val="20"/>
          <w:szCs w:val="20"/>
        </w:rPr>
        <w:t xml:space="preserve">banky </w:t>
      </w:r>
      <w:r w:rsidRPr="0088338F">
        <w:rPr>
          <w:rFonts w:ascii="Arial" w:hAnsi="Arial" w:cs="Arial"/>
          <w:sz w:val="20"/>
          <w:szCs w:val="20"/>
        </w:rPr>
        <w:t>dodať peňažné prostriedky alebo iný finančný majetok klientom alebo ostatným bankám.</w:t>
      </w:r>
    </w:p>
    <w:p w14:paraId="1D1C7E5C"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p>
    <w:p w14:paraId="69284572"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Po prvotnom vykázaní sa záväzky voči klientom</w:t>
      </w:r>
      <w:r w:rsidR="00630DFA" w:rsidRPr="0088338F">
        <w:rPr>
          <w:rFonts w:ascii="Arial" w:hAnsi="Arial" w:cs="Arial"/>
          <w:sz w:val="20"/>
          <w:szCs w:val="20"/>
        </w:rPr>
        <w:t>,</w:t>
      </w:r>
      <w:r w:rsidRPr="0088338F">
        <w:rPr>
          <w:rFonts w:ascii="Arial" w:hAnsi="Arial" w:cs="Arial"/>
          <w:sz w:val="20"/>
          <w:szCs w:val="20"/>
        </w:rPr>
        <w:t xml:space="preserve"> záväzky voči bankám </w:t>
      </w:r>
      <w:r w:rsidR="00630DFA" w:rsidRPr="0088338F">
        <w:rPr>
          <w:rFonts w:ascii="Arial" w:hAnsi="Arial" w:cs="Arial"/>
          <w:sz w:val="20"/>
          <w:szCs w:val="20"/>
        </w:rPr>
        <w:t xml:space="preserve">a záväzky z dlhových cenných papierov </w:t>
      </w:r>
      <w:r w:rsidRPr="0088338F">
        <w:rPr>
          <w:rFonts w:ascii="Arial" w:hAnsi="Arial" w:cs="Arial"/>
          <w:sz w:val="20"/>
          <w:szCs w:val="20"/>
        </w:rPr>
        <w:t>oceňujú v amortizovanej hodnote pomocou metódy efektívnej úrokovej miery. Vo výpočte amortizovanej hodnoty sa zohľadňujú akékoľvek diskonty aleb</w:t>
      </w:r>
      <w:r w:rsidR="00DB600B" w:rsidRPr="0088338F">
        <w:rPr>
          <w:rFonts w:ascii="Arial" w:hAnsi="Arial" w:cs="Arial"/>
          <w:sz w:val="20"/>
          <w:szCs w:val="20"/>
        </w:rPr>
        <w:t>o prémie z nominálnej hodnoty a </w:t>
      </w:r>
      <w:r w:rsidRPr="0088338F">
        <w:rPr>
          <w:rFonts w:ascii="Arial" w:hAnsi="Arial" w:cs="Arial"/>
          <w:sz w:val="20"/>
          <w:szCs w:val="20"/>
        </w:rPr>
        <w:t>prvotné náklady, ktoré predstavujú neoddeliteľnú súčasť efektívnej úrokovej miery.</w:t>
      </w:r>
      <w:r w:rsidR="00BB5146" w:rsidRPr="0088338F">
        <w:rPr>
          <w:rFonts w:ascii="Arial" w:hAnsi="Arial" w:cs="Arial"/>
          <w:sz w:val="20"/>
          <w:szCs w:val="20"/>
        </w:rPr>
        <w:t xml:space="preserve"> Prislúchajúce nákladové úroky sa vykazujú vo výkaze</w:t>
      </w:r>
      <w:r w:rsidR="00C03814" w:rsidRPr="0088338F">
        <w:rPr>
          <w:rFonts w:ascii="Arial" w:hAnsi="Arial" w:cs="Arial"/>
          <w:sz w:val="20"/>
          <w:szCs w:val="20"/>
        </w:rPr>
        <w:t xml:space="preserve"> ziskov a strát v položke „Úrokové náklady a obdobné náklady”.</w:t>
      </w:r>
    </w:p>
    <w:p w14:paraId="0CD2D5EC" w14:textId="77777777" w:rsidR="008544EC" w:rsidRPr="0088338F" w:rsidRDefault="008544EC" w:rsidP="00A17B0F">
      <w:pPr>
        <w:tabs>
          <w:tab w:val="left" w:pos="0"/>
          <w:tab w:val="right" w:pos="4820"/>
          <w:tab w:val="right" w:pos="6521"/>
          <w:tab w:val="right" w:pos="8222"/>
        </w:tabs>
        <w:jc w:val="both"/>
        <w:rPr>
          <w:rFonts w:ascii="Arial" w:hAnsi="Arial" w:cs="Arial"/>
          <w:b/>
          <w:sz w:val="20"/>
          <w:szCs w:val="20"/>
        </w:rPr>
      </w:pPr>
    </w:p>
    <w:p w14:paraId="303B6A0A" w14:textId="77777777" w:rsidR="00D7583E" w:rsidRPr="0088338F" w:rsidRDefault="00D7583E" w:rsidP="00A17B0F">
      <w:pPr>
        <w:tabs>
          <w:tab w:val="left" w:pos="0"/>
          <w:tab w:val="right" w:pos="4820"/>
          <w:tab w:val="right" w:pos="6521"/>
          <w:tab w:val="right" w:pos="8222"/>
        </w:tabs>
        <w:jc w:val="both"/>
        <w:rPr>
          <w:rFonts w:ascii="Arial" w:hAnsi="Arial" w:cs="Arial"/>
          <w:b/>
          <w:sz w:val="10"/>
          <w:szCs w:val="10"/>
        </w:rPr>
      </w:pPr>
    </w:p>
    <w:p w14:paraId="110065F1" w14:textId="77777777" w:rsidR="008E6838" w:rsidRPr="0088338F" w:rsidRDefault="008E6838">
      <w:pPr>
        <w:rPr>
          <w:rFonts w:ascii="Arial" w:hAnsi="Arial" w:cs="Arial"/>
          <w:b/>
          <w:sz w:val="20"/>
          <w:szCs w:val="20"/>
        </w:rPr>
      </w:pPr>
      <w:r w:rsidRPr="0088338F">
        <w:rPr>
          <w:rFonts w:ascii="Arial" w:hAnsi="Arial" w:cs="Arial"/>
          <w:b/>
          <w:sz w:val="20"/>
          <w:szCs w:val="20"/>
        </w:rPr>
        <w:br w:type="page"/>
      </w:r>
    </w:p>
    <w:p w14:paraId="725FDD6B" w14:textId="673901A1"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lastRenderedPageBreak/>
        <w:t>(</w:t>
      </w:r>
      <w:r w:rsidR="00C03814" w:rsidRPr="0088338F">
        <w:rPr>
          <w:rFonts w:ascii="Arial" w:hAnsi="Arial" w:cs="Arial"/>
          <w:b/>
          <w:sz w:val="20"/>
          <w:szCs w:val="20"/>
        </w:rPr>
        <w:t>4</w:t>
      </w:r>
      <w:r w:rsidRPr="0088338F">
        <w:rPr>
          <w:rFonts w:ascii="Arial" w:hAnsi="Arial" w:cs="Arial"/>
          <w:b/>
          <w:sz w:val="20"/>
          <w:szCs w:val="20"/>
        </w:rPr>
        <w:t>) Odúčtovanie finančného majetku a finančných záväzkov</w:t>
      </w:r>
    </w:p>
    <w:p w14:paraId="62BE3F44" w14:textId="77777777" w:rsidR="00A17B0F" w:rsidRPr="0088338F" w:rsidRDefault="00A17B0F" w:rsidP="005B0F81">
      <w:pPr>
        <w:tabs>
          <w:tab w:val="left" w:pos="0"/>
          <w:tab w:val="right" w:pos="4820"/>
          <w:tab w:val="right" w:pos="6521"/>
          <w:tab w:val="right" w:pos="8222"/>
        </w:tabs>
        <w:jc w:val="both"/>
        <w:rPr>
          <w:rFonts w:ascii="Arial" w:hAnsi="Arial" w:cs="Arial"/>
          <w:b/>
          <w:sz w:val="10"/>
          <w:szCs w:val="10"/>
        </w:rPr>
      </w:pPr>
    </w:p>
    <w:p w14:paraId="378DF509" w14:textId="77777777" w:rsidR="00A17B0F" w:rsidRPr="0088338F" w:rsidRDefault="00A17B0F" w:rsidP="005B0F81">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(i) Finančný majetok</w:t>
      </w:r>
    </w:p>
    <w:p w14:paraId="5BFE323C" w14:textId="77777777" w:rsidR="00A17B0F" w:rsidRPr="0088338F" w:rsidRDefault="00A17B0F" w:rsidP="007E62C3">
      <w:pPr>
        <w:pStyle w:val="StylebodyEYGothicCondDemi"/>
        <w:spacing w:after="0" w:line="240" w:lineRule="auto"/>
        <w:jc w:val="both"/>
        <w:rPr>
          <w:rFonts w:ascii="Arial" w:hAnsi="Arial" w:cs="Arial"/>
          <w:color w:val="auto"/>
          <w:lang w:val="sk-SK"/>
        </w:rPr>
      </w:pPr>
      <w:r w:rsidRPr="0088338F">
        <w:rPr>
          <w:rFonts w:ascii="Arial" w:hAnsi="Arial" w:cs="Arial"/>
          <w:color w:val="auto"/>
          <w:lang w:val="sk-SK"/>
        </w:rPr>
        <w:t>Finančný majetok (resp. časť finančného majetku alebo časť skupiny podobného finančného majetku) sa odúčtuje, keď:</w:t>
      </w:r>
    </w:p>
    <w:p w14:paraId="41DA0B14" w14:textId="77777777" w:rsidR="00A17B0F" w:rsidRPr="0088338F" w:rsidRDefault="00A17B0F" w:rsidP="000949A2">
      <w:pPr>
        <w:pStyle w:val="Indent3"/>
        <w:tabs>
          <w:tab w:val="clear" w:pos="-1440"/>
          <w:tab w:val="clear" w:pos="785"/>
        </w:tabs>
        <w:ind w:left="567" w:hanging="567"/>
        <w:rPr>
          <w:rFonts w:ascii="Arial" w:hAnsi="Arial" w:cs="Arial"/>
          <w:lang w:val="sk-SK"/>
        </w:rPr>
      </w:pPr>
      <w:r w:rsidRPr="0088338F">
        <w:rPr>
          <w:rFonts w:ascii="Arial" w:hAnsi="Arial" w:cs="Arial"/>
          <w:lang w:val="sk-SK"/>
        </w:rPr>
        <w:t>vypršia práva získať peňažné toky z príslušného majetku</w:t>
      </w:r>
      <w:r w:rsidR="00327BC3" w:rsidRPr="0088338F">
        <w:rPr>
          <w:rFonts w:ascii="Arial" w:hAnsi="Arial" w:cs="Arial"/>
          <w:lang w:val="sk-SK"/>
        </w:rPr>
        <w:t>,</w:t>
      </w:r>
      <w:r w:rsidRPr="0088338F">
        <w:rPr>
          <w:rFonts w:ascii="Arial" w:hAnsi="Arial" w:cs="Arial"/>
          <w:lang w:val="sk-SK"/>
        </w:rPr>
        <w:t xml:space="preserve"> alebo</w:t>
      </w:r>
    </w:p>
    <w:p w14:paraId="64E7CB97" w14:textId="77777777" w:rsidR="00A17B0F" w:rsidRPr="0088338F" w:rsidRDefault="005A01BC" w:rsidP="000949A2">
      <w:pPr>
        <w:pStyle w:val="Indent3"/>
        <w:tabs>
          <w:tab w:val="clear" w:pos="-1440"/>
          <w:tab w:val="clear" w:pos="785"/>
        </w:tabs>
        <w:ind w:left="567" w:hanging="567"/>
        <w:rPr>
          <w:rFonts w:ascii="Arial" w:hAnsi="Arial" w:cs="Arial"/>
          <w:lang w:val="sk-SK"/>
        </w:rPr>
      </w:pPr>
      <w:r w:rsidRPr="0088338F">
        <w:rPr>
          <w:rFonts w:ascii="Arial" w:hAnsi="Arial" w:cs="Arial"/>
          <w:lang w:val="sk-SK"/>
        </w:rPr>
        <w:t xml:space="preserve">banka </w:t>
      </w:r>
      <w:r w:rsidR="00A17B0F" w:rsidRPr="0088338F">
        <w:rPr>
          <w:rFonts w:ascii="Arial" w:hAnsi="Arial" w:cs="Arial"/>
          <w:lang w:val="sk-SK"/>
        </w:rPr>
        <w:t>previedla práva na peňažné toky z aktíva, resp. prevzala záväzok vyplatiť celú výšku získaných peňažných tokov bez významného oneskorenia tretej strane</w:t>
      </w:r>
      <w:r w:rsidR="00C03814" w:rsidRPr="0088338F">
        <w:rPr>
          <w:rFonts w:ascii="Arial" w:hAnsi="Arial" w:cs="Arial"/>
          <w:lang w:val="sk-SK"/>
        </w:rPr>
        <w:t xml:space="preserve"> </w:t>
      </w:r>
      <w:r w:rsidR="00A17B0F" w:rsidRPr="0088338F">
        <w:rPr>
          <w:rFonts w:ascii="Arial" w:hAnsi="Arial" w:cs="Arial"/>
          <w:lang w:val="sk-SK"/>
        </w:rPr>
        <w:t>(„pass-through</w:t>
      </w:r>
      <w:r w:rsidR="00C03814" w:rsidRPr="0088338F">
        <w:rPr>
          <w:rFonts w:ascii="Arial" w:hAnsi="Arial" w:cs="Arial"/>
          <w:lang w:val="sk-SK"/>
        </w:rPr>
        <w:t xml:space="preserve"> </w:t>
      </w:r>
      <w:r w:rsidR="00A17B0F" w:rsidRPr="0088338F">
        <w:rPr>
          <w:rFonts w:ascii="Arial" w:hAnsi="Arial" w:cs="Arial"/>
          <w:lang w:val="sk-SK"/>
        </w:rPr>
        <w:t>arrangements“), alebo</w:t>
      </w:r>
    </w:p>
    <w:p w14:paraId="2B7A4B14" w14:textId="77777777" w:rsidR="00A17B0F" w:rsidRPr="0088338F" w:rsidRDefault="005A01BC" w:rsidP="000949A2">
      <w:pPr>
        <w:pStyle w:val="Indent3"/>
        <w:tabs>
          <w:tab w:val="clear" w:pos="-1440"/>
          <w:tab w:val="clear" w:pos="785"/>
        </w:tabs>
        <w:ind w:left="567" w:hanging="567"/>
        <w:rPr>
          <w:rFonts w:ascii="Arial" w:hAnsi="Arial" w:cs="Arial"/>
          <w:lang w:val="sk-SK"/>
        </w:rPr>
      </w:pPr>
      <w:r w:rsidRPr="0088338F">
        <w:rPr>
          <w:rFonts w:ascii="Arial" w:hAnsi="Arial" w:cs="Arial"/>
          <w:lang w:val="sk-SK"/>
        </w:rPr>
        <w:t xml:space="preserve">banka </w:t>
      </w:r>
      <w:r w:rsidR="00A17B0F" w:rsidRPr="0088338F">
        <w:rPr>
          <w:rFonts w:ascii="Arial" w:hAnsi="Arial" w:cs="Arial"/>
          <w:lang w:val="sk-SK"/>
        </w:rPr>
        <w:t>previedla takmer všetky riziká a odmeny vyplývajúce z príslušného majetku, alebo</w:t>
      </w:r>
    </w:p>
    <w:p w14:paraId="3C8FF991" w14:textId="40A785E3" w:rsidR="00246798" w:rsidRPr="0088338F" w:rsidRDefault="005A01BC" w:rsidP="004D525D">
      <w:pPr>
        <w:pStyle w:val="Indent3"/>
        <w:tabs>
          <w:tab w:val="clear" w:pos="-1440"/>
          <w:tab w:val="clear" w:pos="785"/>
        </w:tabs>
        <w:ind w:left="567" w:hanging="567"/>
        <w:rPr>
          <w:rFonts w:ascii="Arial" w:hAnsi="Arial" w:cs="Arial"/>
          <w:lang w:val="sk-SK"/>
        </w:rPr>
      </w:pPr>
      <w:r w:rsidRPr="0088338F">
        <w:rPr>
          <w:rFonts w:ascii="Arial" w:hAnsi="Arial" w:cs="Arial"/>
          <w:lang w:val="sk-SK"/>
        </w:rPr>
        <w:t xml:space="preserve">banka </w:t>
      </w:r>
      <w:r w:rsidR="00A17B0F" w:rsidRPr="0088338F">
        <w:rPr>
          <w:rFonts w:ascii="Arial" w:hAnsi="Arial" w:cs="Arial"/>
          <w:lang w:val="sk-SK"/>
        </w:rPr>
        <w:t xml:space="preserve">nepreviedla všetky riziká a výnosy vyplývajúce z príslušného majetku ani si ich neponechala, previedla však kontrolu nad týmto majetkom. </w:t>
      </w:r>
    </w:p>
    <w:p w14:paraId="2FC9F12D" w14:textId="77777777" w:rsidR="00857CD1" w:rsidRPr="0088338F" w:rsidRDefault="00857CD1" w:rsidP="00857CD1">
      <w:pPr>
        <w:pStyle w:val="Indent3"/>
        <w:numPr>
          <w:ilvl w:val="0"/>
          <w:numId w:val="0"/>
        </w:numPr>
        <w:tabs>
          <w:tab w:val="clear" w:pos="-1440"/>
        </w:tabs>
        <w:ind w:left="567"/>
        <w:rPr>
          <w:rFonts w:ascii="Arial" w:hAnsi="Arial" w:cs="Arial"/>
          <w:lang w:val="sk-SK"/>
        </w:rPr>
      </w:pPr>
    </w:p>
    <w:p w14:paraId="0F821B1F" w14:textId="4275CEEC" w:rsidR="00A17B0F" w:rsidRPr="0088338F" w:rsidRDefault="00A17B0F" w:rsidP="007E62C3">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Ak </w:t>
      </w:r>
      <w:r w:rsidR="005A01BC" w:rsidRPr="0088338F">
        <w:rPr>
          <w:rFonts w:ascii="Arial" w:hAnsi="Arial" w:cs="Arial"/>
          <w:sz w:val="20"/>
          <w:szCs w:val="20"/>
        </w:rPr>
        <w:t xml:space="preserve">banka </w:t>
      </w:r>
      <w:r w:rsidRPr="0088338F">
        <w:rPr>
          <w:rFonts w:ascii="Arial" w:hAnsi="Arial" w:cs="Arial"/>
          <w:sz w:val="20"/>
          <w:szCs w:val="20"/>
        </w:rPr>
        <w:t xml:space="preserve">previedla svoje práva na peňažné toky z majetku, resp. uzavrela uvedenú </w:t>
      </w:r>
      <w:r w:rsidRPr="0088338F">
        <w:rPr>
          <w:rFonts w:ascii="Arial" w:hAnsi="Arial" w:cs="Arial"/>
          <w:i/>
          <w:sz w:val="20"/>
          <w:szCs w:val="20"/>
        </w:rPr>
        <w:t>pass-through</w:t>
      </w:r>
      <w:r w:rsidRPr="0088338F">
        <w:rPr>
          <w:rFonts w:ascii="Arial" w:hAnsi="Arial" w:cs="Arial"/>
          <w:sz w:val="20"/>
          <w:szCs w:val="20"/>
        </w:rPr>
        <w:t xml:space="preserve"> dohodu, pričom však nepreviedla všetky riziká alebo úžitky vyplývajúce z tohto majetku a ani si ich neponechala, ani nepreviedla kontrolu nad majetkom, v takom prípade sa o tomto majetku účtuje v príslušnom rozsahu pokračujúcej angažovanosti </w:t>
      </w:r>
      <w:r w:rsidR="005A01BC" w:rsidRPr="0088338F">
        <w:rPr>
          <w:rFonts w:ascii="Arial" w:hAnsi="Arial" w:cs="Arial"/>
          <w:sz w:val="20"/>
          <w:szCs w:val="20"/>
        </w:rPr>
        <w:t>banky</w:t>
      </w:r>
      <w:r w:rsidRPr="0088338F">
        <w:rPr>
          <w:rFonts w:ascii="Arial" w:hAnsi="Arial" w:cs="Arial"/>
          <w:sz w:val="20"/>
          <w:szCs w:val="20"/>
        </w:rPr>
        <w:t xml:space="preserve">. Pokračujúca angažovanosť, ktorá má formu záruky na prevádzaný majetok, sa oceňuje nižšou hodnotou z a) pôvodnej účtovnej hodnoty majetku alebo b) maximálnou výškou protihodnoty, ktorej platba by sa mohla od </w:t>
      </w:r>
      <w:r w:rsidR="005A01BC" w:rsidRPr="0088338F">
        <w:rPr>
          <w:rFonts w:ascii="Arial" w:hAnsi="Arial" w:cs="Arial"/>
          <w:sz w:val="20"/>
          <w:szCs w:val="20"/>
        </w:rPr>
        <w:t xml:space="preserve">banky </w:t>
      </w:r>
      <w:r w:rsidRPr="0088338F">
        <w:rPr>
          <w:rFonts w:ascii="Arial" w:hAnsi="Arial" w:cs="Arial"/>
          <w:sz w:val="20"/>
          <w:szCs w:val="20"/>
        </w:rPr>
        <w:t>vyžadovať.</w:t>
      </w:r>
    </w:p>
    <w:p w14:paraId="0D5734A1"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p>
    <w:p w14:paraId="658AB916"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(ii)</w:t>
      </w:r>
      <w:r w:rsidR="00D90FC3" w:rsidRPr="0088338F">
        <w:rPr>
          <w:rFonts w:ascii="Arial" w:hAnsi="Arial" w:cs="Arial"/>
          <w:b/>
          <w:sz w:val="20"/>
          <w:szCs w:val="20"/>
        </w:rPr>
        <w:t xml:space="preserve"> </w:t>
      </w:r>
      <w:r w:rsidRPr="0088338F">
        <w:rPr>
          <w:rFonts w:ascii="Arial" w:hAnsi="Arial" w:cs="Arial"/>
          <w:b/>
          <w:sz w:val="20"/>
          <w:szCs w:val="20"/>
        </w:rPr>
        <w:t>Finančné záväzky</w:t>
      </w:r>
    </w:p>
    <w:p w14:paraId="15EB6E77"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Finančný záväzok sa odúčtuje, keď je povinnosť daná záväzkom splnená, resp. zrušená</w:t>
      </w:r>
      <w:r w:rsidR="00327BC3" w:rsidRPr="0088338F">
        <w:rPr>
          <w:rFonts w:ascii="Arial" w:hAnsi="Arial" w:cs="Arial"/>
          <w:sz w:val="20"/>
          <w:szCs w:val="20"/>
        </w:rPr>
        <w:t>,</w:t>
      </w:r>
      <w:r w:rsidRPr="0088338F">
        <w:rPr>
          <w:rFonts w:ascii="Arial" w:hAnsi="Arial" w:cs="Arial"/>
          <w:sz w:val="20"/>
          <w:szCs w:val="20"/>
        </w:rPr>
        <w:t xml:space="preserve"> alebo vypršala. V prípadoch, keď súčasný finančný záväzok nahradí iný záväzok od toho istého veriteľa za výrazne odlišných podmienok, resp. podmienky existujúceho finančného záväzku sa výrazne zmenia, najprv sa odúčtuje pôvodný záväzok a potom sa zaúčtuje nový záväzok</w:t>
      </w:r>
      <w:r w:rsidR="00327BC3" w:rsidRPr="0088338F">
        <w:rPr>
          <w:rFonts w:ascii="Arial" w:hAnsi="Arial" w:cs="Arial"/>
          <w:sz w:val="20"/>
          <w:szCs w:val="20"/>
        </w:rPr>
        <w:t>;</w:t>
      </w:r>
      <w:r w:rsidRPr="0088338F">
        <w:rPr>
          <w:rFonts w:ascii="Arial" w:hAnsi="Arial" w:cs="Arial"/>
          <w:sz w:val="20"/>
          <w:szCs w:val="20"/>
        </w:rPr>
        <w:t xml:space="preserve"> rozdiel v príslušných účtovných hodnotách sa vykáže vo výkaze ziskov a strát.</w:t>
      </w:r>
    </w:p>
    <w:p w14:paraId="39314B7C" w14:textId="77777777" w:rsidR="00246798" w:rsidRPr="0088338F" w:rsidRDefault="00246798" w:rsidP="00A17B0F">
      <w:pPr>
        <w:tabs>
          <w:tab w:val="left" w:pos="0"/>
          <w:tab w:val="right" w:pos="4820"/>
          <w:tab w:val="right" w:pos="6521"/>
          <w:tab w:val="right" w:pos="8222"/>
        </w:tabs>
        <w:jc w:val="both"/>
        <w:rPr>
          <w:rFonts w:ascii="Arial" w:hAnsi="Arial" w:cs="Arial"/>
          <w:b/>
          <w:sz w:val="20"/>
          <w:szCs w:val="20"/>
        </w:rPr>
      </w:pPr>
    </w:p>
    <w:p w14:paraId="17A97E78" w14:textId="7A66149A" w:rsidR="0002253E" w:rsidRPr="0088338F" w:rsidRDefault="0002253E" w:rsidP="0002253E">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(5) Reklasifikácia finančného majetku</w:t>
      </w:r>
      <w:r w:rsidR="00C00647" w:rsidRPr="0088338F">
        <w:rPr>
          <w:rFonts w:ascii="Arial" w:hAnsi="Arial" w:cs="Arial"/>
          <w:b/>
          <w:sz w:val="20"/>
          <w:szCs w:val="20"/>
        </w:rPr>
        <w:t xml:space="preserve"> z kategórie k dispozícii na predaj do kategórie finančného majetku držaného do splatnosti</w:t>
      </w:r>
    </w:p>
    <w:p w14:paraId="5C657EE2" w14:textId="77777777" w:rsidR="0002253E" w:rsidRPr="0088338F" w:rsidRDefault="0002253E" w:rsidP="00A17B0F">
      <w:pPr>
        <w:tabs>
          <w:tab w:val="left" w:pos="0"/>
          <w:tab w:val="right" w:pos="4820"/>
          <w:tab w:val="right" w:pos="6521"/>
          <w:tab w:val="right" w:pos="8222"/>
        </w:tabs>
        <w:jc w:val="both"/>
        <w:rPr>
          <w:rFonts w:ascii="Arial" w:hAnsi="Arial" w:cs="Arial"/>
          <w:sz w:val="20"/>
          <w:szCs w:val="20"/>
        </w:rPr>
      </w:pPr>
    </w:p>
    <w:p w14:paraId="3CC19445" w14:textId="7A3F02C3" w:rsidR="00D3026C" w:rsidRPr="0088338F" w:rsidRDefault="00C00647"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Reálna účtovná hodnota finančného majetku sa k dát</w:t>
      </w:r>
      <w:r w:rsidR="00332C13" w:rsidRPr="0088338F">
        <w:rPr>
          <w:rFonts w:ascii="Arial" w:hAnsi="Arial" w:cs="Arial"/>
          <w:sz w:val="20"/>
          <w:szCs w:val="20"/>
        </w:rPr>
        <w:t>u</w:t>
      </w:r>
      <w:r w:rsidRPr="0088338F">
        <w:rPr>
          <w:rFonts w:ascii="Arial" w:hAnsi="Arial" w:cs="Arial"/>
          <w:sz w:val="20"/>
          <w:szCs w:val="20"/>
        </w:rPr>
        <w:t xml:space="preserve">mu reklasifikácie stáva jeho novou obstarávacou hodnotou alebo amortizovanou hodnotou. Všetky predchádzajúce zisky alebo straty z tohto </w:t>
      </w:r>
      <w:r w:rsidR="00332C13" w:rsidRPr="0088338F">
        <w:rPr>
          <w:rFonts w:ascii="Arial" w:hAnsi="Arial" w:cs="Arial"/>
          <w:sz w:val="20"/>
          <w:szCs w:val="20"/>
        </w:rPr>
        <w:t xml:space="preserve">finančného </w:t>
      </w:r>
      <w:r w:rsidRPr="0088338F">
        <w:rPr>
          <w:rFonts w:ascii="Arial" w:hAnsi="Arial" w:cs="Arial"/>
          <w:sz w:val="20"/>
          <w:szCs w:val="20"/>
        </w:rPr>
        <w:t xml:space="preserve">majetku, ktoré boli vykázané priamo vo vlastnom imaní v položke </w:t>
      </w:r>
      <w:r w:rsidR="00D3026C" w:rsidRPr="0088338F">
        <w:rPr>
          <w:rFonts w:ascii="Arial" w:hAnsi="Arial" w:cs="Arial"/>
          <w:sz w:val="20"/>
          <w:szCs w:val="20"/>
        </w:rPr>
        <w:t>„Oceňovacie rozdiely z cenných papierov k dispozícii na predaj, vrátane odloženej dane“ sa amortizuj</w:t>
      </w:r>
      <w:r w:rsidR="00677BB8" w:rsidRPr="0088338F">
        <w:rPr>
          <w:rFonts w:ascii="Arial" w:hAnsi="Arial" w:cs="Arial"/>
          <w:sz w:val="20"/>
          <w:szCs w:val="20"/>
        </w:rPr>
        <w:t>ú</w:t>
      </w:r>
      <w:r w:rsidR="00D3026C" w:rsidRPr="0088338F">
        <w:rPr>
          <w:rFonts w:ascii="Arial" w:hAnsi="Arial" w:cs="Arial"/>
          <w:sz w:val="20"/>
          <w:szCs w:val="20"/>
        </w:rPr>
        <w:t xml:space="preserve"> do hospodárskeho výsledku </w:t>
      </w:r>
      <w:r w:rsidR="00246798" w:rsidRPr="0088338F">
        <w:rPr>
          <w:rFonts w:ascii="Arial" w:hAnsi="Arial" w:cs="Arial"/>
          <w:sz w:val="20"/>
          <w:szCs w:val="20"/>
        </w:rPr>
        <w:t>v </w:t>
      </w:r>
      <w:r w:rsidR="00D3026C" w:rsidRPr="0088338F">
        <w:rPr>
          <w:rFonts w:ascii="Arial" w:hAnsi="Arial" w:cs="Arial"/>
          <w:sz w:val="20"/>
          <w:szCs w:val="20"/>
        </w:rPr>
        <w:t>položk</w:t>
      </w:r>
      <w:r w:rsidR="00332C13" w:rsidRPr="0088338F">
        <w:rPr>
          <w:rFonts w:ascii="Arial" w:hAnsi="Arial" w:cs="Arial"/>
          <w:sz w:val="20"/>
          <w:szCs w:val="20"/>
        </w:rPr>
        <w:t>e</w:t>
      </w:r>
      <w:r w:rsidR="00D3026C" w:rsidRPr="0088338F">
        <w:rPr>
          <w:rFonts w:ascii="Arial" w:hAnsi="Arial" w:cs="Arial"/>
          <w:sz w:val="20"/>
          <w:szCs w:val="20"/>
        </w:rPr>
        <w:t xml:space="preserve"> „Úrokové výnosy a obdobné výnosy“ počas zostávajúcej doby životnosti, a to použitím metódy efektívnej úrokovej miery. Akýkoľvek rozdiel medzi novou amortizovanou hodnotou a sumou pri splatnosti sa tiež amortizuje počas zostávajúcej doby životnosti finančného majetku pomocou metódy efektívnej úrokovej miery, podobne ako pri amortizácii diskontu a prémie. A</w:t>
      </w:r>
      <w:r w:rsidR="00677BB8" w:rsidRPr="0088338F">
        <w:rPr>
          <w:rFonts w:ascii="Arial" w:hAnsi="Arial" w:cs="Arial"/>
          <w:sz w:val="20"/>
          <w:szCs w:val="20"/>
        </w:rPr>
        <w:t>k</w:t>
      </w:r>
      <w:r w:rsidR="00D3026C" w:rsidRPr="0088338F">
        <w:rPr>
          <w:rFonts w:ascii="Arial" w:hAnsi="Arial" w:cs="Arial"/>
          <w:sz w:val="20"/>
          <w:szCs w:val="20"/>
        </w:rPr>
        <w:t xml:space="preserve"> dôjde následne k zníženiu hodnoty finančného </w:t>
      </w:r>
      <w:r w:rsidR="00332C13" w:rsidRPr="0088338F">
        <w:rPr>
          <w:rFonts w:ascii="Arial" w:hAnsi="Arial" w:cs="Arial"/>
          <w:sz w:val="20"/>
          <w:szCs w:val="20"/>
        </w:rPr>
        <w:t>majetku</w:t>
      </w:r>
      <w:r w:rsidR="00D3026C" w:rsidRPr="0088338F">
        <w:rPr>
          <w:rFonts w:ascii="Arial" w:hAnsi="Arial" w:cs="Arial"/>
          <w:sz w:val="20"/>
          <w:szCs w:val="20"/>
        </w:rPr>
        <w:t>, zisk alebo strata, ktoré boli vykázané priamo vo vlastnom imaní, sa vykážu v hospodárskom výsledku v súlade s poznámkou 2.5 bod 8.</w:t>
      </w:r>
    </w:p>
    <w:p w14:paraId="3329B17C" w14:textId="77777777" w:rsidR="00246798" w:rsidRPr="0088338F" w:rsidRDefault="00246798" w:rsidP="00A17B0F">
      <w:pPr>
        <w:tabs>
          <w:tab w:val="left" w:pos="0"/>
          <w:tab w:val="right" w:pos="4820"/>
          <w:tab w:val="right" w:pos="6521"/>
          <w:tab w:val="right" w:pos="8222"/>
        </w:tabs>
        <w:jc w:val="both"/>
        <w:rPr>
          <w:rFonts w:ascii="Arial" w:hAnsi="Arial" w:cs="Arial"/>
          <w:sz w:val="20"/>
          <w:szCs w:val="20"/>
        </w:rPr>
      </w:pPr>
    </w:p>
    <w:p w14:paraId="6D819F83"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w:t>
      </w:r>
      <w:r w:rsidR="0002253E" w:rsidRPr="0088338F">
        <w:rPr>
          <w:rFonts w:ascii="Arial" w:hAnsi="Arial" w:cs="Arial"/>
          <w:b/>
          <w:sz w:val="20"/>
          <w:szCs w:val="20"/>
        </w:rPr>
        <w:t>6</w:t>
      </w:r>
      <w:r w:rsidRPr="0088338F">
        <w:rPr>
          <w:rFonts w:ascii="Arial" w:hAnsi="Arial" w:cs="Arial"/>
          <w:b/>
          <w:sz w:val="20"/>
          <w:szCs w:val="20"/>
        </w:rPr>
        <w:t>) Zmluvy o spätnom nákupe a obrátených repoobchodoch</w:t>
      </w:r>
    </w:p>
    <w:p w14:paraId="20D155BC" w14:textId="77777777" w:rsidR="00A17B0F" w:rsidRPr="0088338F" w:rsidRDefault="00A17B0F" w:rsidP="00A17B0F">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Obchody, pri ktorých sa cenné papiere predávajú so záväzkom spätného nákupu (repoobchody) za vopred dohodnutú cenu alebo sa nakupujú so záväzkom spätného predaja (obrátené repoobchody), sú účtované ako prijaté úvery v položke „Záväzky voči bankám“ alebo „Záväzky voči klientom“ so zabezpečovacím prevodom cenných papierov alebo poskytnuté úvery v položke „Pohľadávky voči bankám“ alebo „Pohľadávky voči klientom“</w:t>
      </w:r>
      <w:r w:rsidR="00452EFC" w:rsidRPr="0088338F">
        <w:rPr>
          <w:rFonts w:ascii="Arial" w:hAnsi="Arial" w:cs="Arial"/>
          <w:sz w:val="20"/>
          <w:szCs w:val="20"/>
        </w:rPr>
        <w:t>.</w:t>
      </w:r>
      <w:r w:rsidRPr="0088338F">
        <w:rPr>
          <w:rFonts w:ascii="Arial" w:hAnsi="Arial" w:cs="Arial"/>
          <w:sz w:val="20"/>
          <w:szCs w:val="20"/>
        </w:rPr>
        <w:t xml:space="preserve"> </w:t>
      </w:r>
      <w:r w:rsidR="00630DFA" w:rsidRPr="0088338F">
        <w:rPr>
          <w:rFonts w:ascii="Arial" w:hAnsi="Arial" w:cs="Arial"/>
          <w:sz w:val="20"/>
          <w:szCs w:val="20"/>
        </w:rPr>
        <w:t>Banka účtuje o úrokových výnosoch na papieroch</w:t>
      </w:r>
      <w:r w:rsidR="00F125DE" w:rsidRPr="0088338F">
        <w:rPr>
          <w:rFonts w:ascii="Arial" w:hAnsi="Arial" w:cs="Arial"/>
          <w:sz w:val="20"/>
          <w:szCs w:val="20"/>
        </w:rPr>
        <w:t xml:space="preserve"> predaných </w:t>
      </w:r>
      <w:r w:rsidR="00630DFA" w:rsidRPr="0088338F">
        <w:rPr>
          <w:rFonts w:ascii="Arial" w:hAnsi="Arial" w:cs="Arial"/>
          <w:sz w:val="20"/>
          <w:szCs w:val="20"/>
        </w:rPr>
        <w:t>so záväzkom spätného nákupu</w:t>
      </w:r>
      <w:r w:rsidR="00F125DE" w:rsidRPr="0088338F">
        <w:rPr>
          <w:rFonts w:ascii="Arial" w:hAnsi="Arial" w:cs="Arial"/>
          <w:sz w:val="20"/>
          <w:szCs w:val="20"/>
        </w:rPr>
        <w:t>, ale neúčtuje o výnosových úrokoch na cenných papieroch nakúpených so záväzkom spätného predaja.</w:t>
      </w:r>
    </w:p>
    <w:p w14:paraId="19D2CB91" w14:textId="77777777" w:rsidR="00446C3C" w:rsidRPr="0088338F" w:rsidRDefault="00446C3C" w:rsidP="00A17B0F">
      <w:pPr>
        <w:tabs>
          <w:tab w:val="left" w:pos="1134"/>
          <w:tab w:val="right" w:pos="4820"/>
          <w:tab w:val="right" w:pos="6521"/>
          <w:tab w:val="right" w:pos="8222"/>
        </w:tabs>
        <w:jc w:val="both"/>
        <w:rPr>
          <w:rFonts w:ascii="Arial" w:hAnsi="Arial" w:cs="Arial"/>
          <w:sz w:val="20"/>
          <w:szCs w:val="20"/>
        </w:rPr>
      </w:pPr>
    </w:p>
    <w:p w14:paraId="618AA8ED" w14:textId="0F65864B" w:rsidR="00246798" w:rsidRPr="0088338F" w:rsidRDefault="00A17B0F" w:rsidP="008544EC">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Výnosy a náklady vzniknuté v rámci repo a obrátených repoobchodov predstavujúce rozdiel medzi predajnou a nákupnou cenou cenných papierov sú časovo rozlišované počas doby trvania obchodu a vykázané vo výkaze ziskov a strát ako „Úrokové výnosy a</w:t>
      </w:r>
      <w:r w:rsidR="00A70C5B" w:rsidRPr="0088338F">
        <w:rPr>
          <w:rFonts w:ascii="Arial" w:hAnsi="Arial" w:cs="Arial"/>
          <w:sz w:val="20"/>
          <w:szCs w:val="20"/>
        </w:rPr>
        <w:t xml:space="preserve"> obdobné </w:t>
      </w:r>
      <w:r w:rsidRPr="0088338F">
        <w:rPr>
          <w:rFonts w:ascii="Arial" w:hAnsi="Arial" w:cs="Arial"/>
          <w:sz w:val="20"/>
          <w:szCs w:val="20"/>
        </w:rPr>
        <w:t xml:space="preserve">výnosy“ alebo „Úrokové </w:t>
      </w:r>
      <w:r w:rsidR="005A01BC" w:rsidRPr="0088338F">
        <w:rPr>
          <w:rFonts w:ascii="Arial" w:hAnsi="Arial" w:cs="Arial"/>
          <w:sz w:val="20"/>
          <w:szCs w:val="20"/>
        </w:rPr>
        <w:t xml:space="preserve">náklady </w:t>
      </w:r>
      <w:r w:rsidR="00A70C5B" w:rsidRPr="0088338F">
        <w:rPr>
          <w:rFonts w:ascii="Arial" w:hAnsi="Arial" w:cs="Arial"/>
          <w:sz w:val="20"/>
          <w:szCs w:val="20"/>
        </w:rPr>
        <w:t xml:space="preserve">a obdobné </w:t>
      </w:r>
      <w:r w:rsidRPr="0088338F">
        <w:rPr>
          <w:rFonts w:ascii="Arial" w:hAnsi="Arial" w:cs="Arial"/>
          <w:sz w:val="20"/>
          <w:szCs w:val="20"/>
        </w:rPr>
        <w:t>náklady“.</w:t>
      </w:r>
    </w:p>
    <w:p w14:paraId="3AE0CA82" w14:textId="77777777" w:rsidR="008E6838" w:rsidRPr="0088338F" w:rsidRDefault="008E6838">
      <w:pPr>
        <w:rPr>
          <w:rFonts w:ascii="Arial" w:hAnsi="Arial" w:cs="Arial"/>
          <w:b/>
          <w:sz w:val="20"/>
          <w:szCs w:val="20"/>
        </w:rPr>
      </w:pPr>
      <w:r w:rsidRPr="0088338F">
        <w:rPr>
          <w:rFonts w:ascii="Arial" w:hAnsi="Arial" w:cs="Arial"/>
          <w:b/>
          <w:sz w:val="20"/>
          <w:szCs w:val="20"/>
        </w:rPr>
        <w:br w:type="page"/>
      </w:r>
    </w:p>
    <w:p w14:paraId="0404CCAB" w14:textId="575389F8"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lastRenderedPageBreak/>
        <w:t>(</w:t>
      </w:r>
      <w:r w:rsidR="004458D0" w:rsidRPr="0088338F">
        <w:rPr>
          <w:rFonts w:ascii="Arial" w:hAnsi="Arial" w:cs="Arial"/>
          <w:b/>
          <w:sz w:val="20"/>
          <w:szCs w:val="20"/>
        </w:rPr>
        <w:t>7</w:t>
      </w:r>
      <w:r w:rsidRPr="0088338F">
        <w:rPr>
          <w:rFonts w:ascii="Arial" w:hAnsi="Arial" w:cs="Arial"/>
          <w:b/>
          <w:sz w:val="20"/>
          <w:szCs w:val="20"/>
        </w:rPr>
        <w:t>) Určenie reálnej hodnoty</w:t>
      </w:r>
    </w:p>
    <w:p w14:paraId="472C7F7B" w14:textId="77777777" w:rsidR="009C6971" w:rsidRPr="0088338F" w:rsidRDefault="009C6971" w:rsidP="009C6971">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Na základe použitých vstupných údajov pre odhad reálnej hodnoty je možné zaradiť výpočet reálnej hodnoty finančného majetku a záväzkov skupiny do jednej z troch úrovní:</w:t>
      </w:r>
    </w:p>
    <w:p w14:paraId="112376D7" w14:textId="77777777" w:rsidR="009C6971" w:rsidRPr="0088338F" w:rsidRDefault="009C6971" w:rsidP="009C6971">
      <w:pPr>
        <w:tabs>
          <w:tab w:val="left" w:pos="1134"/>
          <w:tab w:val="right" w:pos="4820"/>
          <w:tab w:val="right" w:pos="6521"/>
          <w:tab w:val="right" w:pos="8222"/>
        </w:tabs>
        <w:jc w:val="both"/>
        <w:rPr>
          <w:rFonts w:ascii="Arial" w:hAnsi="Arial" w:cs="Arial"/>
          <w:sz w:val="20"/>
          <w:szCs w:val="20"/>
        </w:rPr>
      </w:pPr>
    </w:p>
    <w:p w14:paraId="1892D1D3" w14:textId="77777777" w:rsidR="009C6971" w:rsidRPr="0088338F" w:rsidRDefault="009C6971" w:rsidP="009C6971">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Úroveň 1: kótované ceny z aktívnych trhov pre identický majetok alebo záväzok,</w:t>
      </w:r>
    </w:p>
    <w:p w14:paraId="53885C93" w14:textId="77777777" w:rsidR="009C6971" w:rsidRPr="0088338F" w:rsidRDefault="009C6971" w:rsidP="009C6971">
      <w:pPr>
        <w:tabs>
          <w:tab w:val="left" w:pos="1134"/>
          <w:tab w:val="right" w:pos="4820"/>
          <w:tab w:val="right" w:pos="6521"/>
          <w:tab w:val="right" w:pos="8222"/>
        </w:tabs>
        <w:jc w:val="both"/>
        <w:rPr>
          <w:rFonts w:ascii="Arial" w:hAnsi="Arial" w:cs="Arial"/>
          <w:sz w:val="20"/>
          <w:szCs w:val="20"/>
        </w:rPr>
      </w:pPr>
    </w:p>
    <w:p w14:paraId="315453D6" w14:textId="77777777" w:rsidR="009C6971" w:rsidRPr="0088338F" w:rsidRDefault="009C6971" w:rsidP="009C6971">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Úroveň 2: vstupy iné ako kótované ceny pri úrovni 1, ktoré je možné získať pre majetok alebo záväzok buď priamo (napr. ceny), alebo nepriamo (odvodené z úrokových sadzieb a pod.),</w:t>
      </w:r>
    </w:p>
    <w:p w14:paraId="0B2109D1" w14:textId="77777777" w:rsidR="009C6971" w:rsidRPr="0088338F" w:rsidRDefault="009C6971" w:rsidP="009C6971">
      <w:pPr>
        <w:tabs>
          <w:tab w:val="left" w:pos="1134"/>
          <w:tab w:val="right" w:pos="4820"/>
          <w:tab w:val="right" w:pos="6521"/>
          <w:tab w:val="right" w:pos="8222"/>
        </w:tabs>
        <w:jc w:val="both"/>
        <w:rPr>
          <w:rFonts w:ascii="Arial" w:hAnsi="Arial" w:cs="Arial"/>
          <w:sz w:val="20"/>
          <w:szCs w:val="20"/>
        </w:rPr>
      </w:pPr>
    </w:p>
    <w:p w14:paraId="0D825EEF" w14:textId="77777777" w:rsidR="009C6971" w:rsidRPr="0088338F" w:rsidRDefault="009C6971" w:rsidP="009C6971">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Úroveň 3: vstupné údaje pre majetok alebo záväzok, ktoré nie je možné odvodiť z trhových dát.</w:t>
      </w:r>
    </w:p>
    <w:p w14:paraId="5D80BFA7" w14:textId="77777777" w:rsidR="009C6971" w:rsidRPr="0088338F" w:rsidRDefault="009C6971" w:rsidP="00A5134A">
      <w:pPr>
        <w:tabs>
          <w:tab w:val="left" w:pos="1134"/>
          <w:tab w:val="right" w:pos="4820"/>
          <w:tab w:val="right" w:pos="6521"/>
          <w:tab w:val="right" w:pos="8222"/>
        </w:tabs>
        <w:jc w:val="both"/>
        <w:rPr>
          <w:rFonts w:ascii="Arial" w:hAnsi="Arial" w:cs="Arial"/>
          <w:sz w:val="20"/>
          <w:szCs w:val="20"/>
        </w:rPr>
      </w:pPr>
    </w:p>
    <w:p w14:paraId="2F4558CA" w14:textId="4B9B0EAF" w:rsidR="00A5134A" w:rsidRPr="0088338F" w:rsidRDefault="00A5134A" w:rsidP="00A5134A">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Pre stanovenie reálnej hodnoty finančných nástrojov platí:</w:t>
      </w:r>
    </w:p>
    <w:p w14:paraId="126BFF2C" w14:textId="77777777" w:rsidR="007E62C3" w:rsidRPr="0088338F" w:rsidRDefault="007E62C3" w:rsidP="00A5134A">
      <w:pPr>
        <w:tabs>
          <w:tab w:val="left" w:pos="1134"/>
          <w:tab w:val="right" w:pos="4820"/>
          <w:tab w:val="right" w:pos="6521"/>
          <w:tab w:val="right" w:pos="8222"/>
        </w:tabs>
        <w:jc w:val="both"/>
        <w:rPr>
          <w:sz w:val="20"/>
          <w:szCs w:val="20"/>
        </w:rPr>
      </w:pPr>
    </w:p>
    <w:p w14:paraId="542900E4" w14:textId="77777777" w:rsidR="00A5134A" w:rsidRPr="0088338F" w:rsidRDefault="00A17B0F" w:rsidP="009A69FD">
      <w:pPr>
        <w:numPr>
          <w:ilvl w:val="0"/>
          <w:numId w:val="24"/>
        </w:numPr>
        <w:ind w:left="426" w:hanging="426"/>
        <w:jc w:val="both"/>
        <w:rPr>
          <w:rFonts w:ascii="Arial" w:hAnsi="Arial" w:cs="Arial"/>
          <w:sz w:val="20"/>
          <w:szCs w:val="20"/>
        </w:rPr>
      </w:pPr>
      <w:r w:rsidRPr="0088338F">
        <w:rPr>
          <w:rFonts w:ascii="Arial" w:hAnsi="Arial" w:cs="Arial"/>
          <w:sz w:val="20"/>
          <w:szCs w:val="20"/>
        </w:rPr>
        <w:t>Reálna hodnota finančných nástrojov zodpovedá kótovanej cene na aktívnom trhu ku dňu, ku ktorému sa zostavuje účtovná závierka, bez zníženia ceny o transakčné náklady.</w:t>
      </w:r>
    </w:p>
    <w:p w14:paraId="441416BA" w14:textId="77777777" w:rsidR="00A5134A" w:rsidRPr="0088338F" w:rsidRDefault="00A17B0F" w:rsidP="009A69FD">
      <w:pPr>
        <w:numPr>
          <w:ilvl w:val="0"/>
          <w:numId w:val="24"/>
        </w:numPr>
        <w:ind w:left="426" w:hanging="426"/>
        <w:jc w:val="both"/>
        <w:rPr>
          <w:rFonts w:ascii="Arial" w:hAnsi="Arial" w:cs="Arial"/>
          <w:sz w:val="20"/>
          <w:szCs w:val="20"/>
        </w:rPr>
      </w:pPr>
      <w:r w:rsidRPr="0088338F">
        <w:rPr>
          <w:rFonts w:ascii="Arial" w:hAnsi="Arial" w:cs="Arial"/>
          <w:sz w:val="20"/>
          <w:szCs w:val="20"/>
        </w:rPr>
        <w:t xml:space="preserve">Ak nie je kótovaná trhová cena k dispozícii alebo neexistuje aktívny trh pre daný finančný nástroj, reálna hodnota </w:t>
      </w:r>
      <w:r w:rsidR="00A5134A" w:rsidRPr="0088338F">
        <w:rPr>
          <w:rFonts w:ascii="Arial" w:hAnsi="Arial" w:cs="Arial"/>
          <w:sz w:val="20"/>
          <w:szCs w:val="20"/>
        </w:rPr>
        <w:t xml:space="preserve">finančného </w:t>
      </w:r>
      <w:r w:rsidRPr="0088338F">
        <w:rPr>
          <w:rFonts w:ascii="Arial" w:hAnsi="Arial" w:cs="Arial"/>
          <w:sz w:val="20"/>
          <w:szCs w:val="20"/>
        </w:rPr>
        <w:t xml:space="preserve">nástroja sa </w:t>
      </w:r>
      <w:r w:rsidR="00A5134A" w:rsidRPr="0088338F">
        <w:rPr>
          <w:rFonts w:ascii="Arial" w:hAnsi="Arial" w:cs="Arial"/>
          <w:sz w:val="20"/>
          <w:szCs w:val="20"/>
        </w:rPr>
        <w:t>stanoví pomocou oceňovacích metód ako teoretická cena odvodená od výnosu odčítaného z výnosovej krivky štátnych cenných papierov a kreditnej prirážky dlhových cenných papierov emitentov porovnateľným kreditným rizikom podľa všeobecne platných pravidiel preceňovania.</w:t>
      </w:r>
    </w:p>
    <w:p w14:paraId="51B8A6A0" w14:textId="77777777" w:rsidR="00A5134A" w:rsidRPr="0088338F" w:rsidRDefault="00A5134A" w:rsidP="009A69FD">
      <w:pPr>
        <w:ind w:left="426"/>
        <w:jc w:val="both"/>
        <w:rPr>
          <w:rFonts w:ascii="Arial" w:hAnsi="Arial" w:cs="Arial"/>
          <w:sz w:val="20"/>
          <w:szCs w:val="20"/>
        </w:rPr>
      </w:pPr>
      <w:r w:rsidRPr="0088338F">
        <w:rPr>
          <w:rFonts w:ascii="Arial" w:hAnsi="Arial" w:cs="Arial"/>
          <w:sz w:val="20"/>
          <w:szCs w:val="20"/>
        </w:rPr>
        <w:t>Ak sa na stanovenie reálnej hodnoty použijú oceňovacie metódy, finančné nástroje oceňuje a pravidelne preveruje kvalifikovaný pracovník, ktorý je nezávislý od ich tvorby. Pokiaľ je to prakticky možné, modely používajú len zistiteľné údaje, avšak oblasti, ako napr. úverové riziko, volatilita a likvidita, si vyžadujú odborné odhady.  Zmeny predpokladov spojených s týmito faktormi by mohli mať dopad na vykázanú reálnu hodnotu finančných nástrojov.</w:t>
      </w:r>
    </w:p>
    <w:p w14:paraId="33DD25C9" w14:textId="77777777" w:rsidR="00A5134A" w:rsidRPr="0088338F" w:rsidRDefault="00A5134A" w:rsidP="009A69FD">
      <w:pPr>
        <w:numPr>
          <w:ilvl w:val="0"/>
          <w:numId w:val="24"/>
        </w:numPr>
        <w:ind w:left="426" w:hanging="426"/>
        <w:jc w:val="both"/>
        <w:rPr>
          <w:rFonts w:ascii="Arial" w:hAnsi="Arial" w:cs="Arial"/>
          <w:sz w:val="20"/>
          <w:szCs w:val="20"/>
        </w:rPr>
      </w:pPr>
      <w:r w:rsidRPr="0088338F">
        <w:rPr>
          <w:rFonts w:ascii="Arial" w:hAnsi="Arial" w:cs="Arial"/>
          <w:sz w:val="20"/>
          <w:szCs w:val="20"/>
        </w:rPr>
        <w:t>Reálna hodnota akcií a iných podielových cenných papierov spoločností, ktorých cena nie je kótovaná na aktívnom trhu a ich reálnu hodnotu nemožno spoľahlivo stanoviť, sa oceňuje v obstarávacej cene zníženej o hodnotu znehodnotenia.</w:t>
      </w:r>
    </w:p>
    <w:p w14:paraId="45FF6BCF" w14:textId="0E990926" w:rsidR="00A5134A" w:rsidRPr="0088338F" w:rsidRDefault="00A5134A" w:rsidP="009A69FD">
      <w:pPr>
        <w:numPr>
          <w:ilvl w:val="0"/>
          <w:numId w:val="24"/>
        </w:numPr>
        <w:ind w:left="426" w:hanging="426"/>
        <w:jc w:val="both"/>
        <w:rPr>
          <w:rFonts w:ascii="Arial" w:hAnsi="Arial" w:cs="Arial"/>
          <w:sz w:val="20"/>
          <w:szCs w:val="20"/>
        </w:rPr>
      </w:pPr>
      <w:r w:rsidRPr="0088338F">
        <w:rPr>
          <w:rFonts w:ascii="Arial" w:hAnsi="Arial" w:cs="Arial"/>
          <w:sz w:val="20"/>
          <w:szCs w:val="20"/>
        </w:rPr>
        <w:t>Reálna hodnota štátnych pokladničných poukážok a pokladničných poukážok NBS sa stanoví diskontovaním menovitej hodnoty na súčasnú hodnotu požadovaným výnosom do splatnosti odvodeným od príslušných sadzieb platných na medzibankovom trhu.</w:t>
      </w:r>
    </w:p>
    <w:p w14:paraId="72D7AB3A" w14:textId="77777777" w:rsidR="00A5134A" w:rsidRPr="0088338F" w:rsidRDefault="00A5134A" w:rsidP="009A69FD">
      <w:pPr>
        <w:numPr>
          <w:ilvl w:val="0"/>
          <w:numId w:val="24"/>
        </w:numPr>
        <w:ind w:left="426" w:hanging="426"/>
        <w:jc w:val="both"/>
        <w:rPr>
          <w:rFonts w:ascii="Arial" w:hAnsi="Arial" w:cs="Arial"/>
          <w:sz w:val="20"/>
          <w:szCs w:val="20"/>
        </w:rPr>
      </w:pPr>
      <w:r w:rsidRPr="0088338F">
        <w:rPr>
          <w:rFonts w:ascii="Arial" w:hAnsi="Arial" w:cs="Arial"/>
          <w:sz w:val="20"/>
          <w:szCs w:val="20"/>
        </w:rPr>
        <w:t>V prípade OTC derivátov sa reáln</w:t>
      </w:r>
      <w:r w:rsidR="00327BC3" w:rsidRPr="0088338F">
        <w:rPr>
          <w:rFonts w:ascii="Arial" w:hAnsi="Arial" w:cs="Arial"/>
          <w:sz w:val="20"/>
          <w:szCs w:val="20"/>
        </w:rPr>
        <w:t>a</w:t>
      </w:r>
      <w:r w:rsidRPr="0088338F">
        <w:rPr>
          <w:rFonts w:ascii="Arial" w:hAnsi="Arial" w:cs="Arial"/>
          <w:sz w:val="20"/>
          <w:szCs w:val="20"/>
        </w:rPr>
        <w:t xml:space="preserve"> hodnota stanoví oceňovacími metódami využívajúcimi diskontovanie budúcich peňažných tokov na súčasnú hodnotu s použitím overiteľných trhových údajov.</w:t>
      </w:r>
    </w:p>
    <w:p w14:paraId="56D0D7C4" w14:textId="77777777" w:rsidR="00A5134A" w:rsidRPr="0088338F" w:rsidRDefault="00A5134A" w:rsidP="00A5134A">
      <w:pPr>
        <w:tabs>
          <w:tab w:val="left" w:pos="1134"/>
          <w:tab w:val="right" w:pos="4820"/>
          <w:tab w:val="right" w:pos="6521"/>
          <w:tab w:val="right" w:pos="8222"/>
        </w:tabs>
        <w:jc w:val="both"/>
        <w:rPr>
          <w:rFonts w:ascii="Arial" w:hAnsi="Arial" w:cs="Arial"/>
          <w:sz w:val="14"/>
          <w:szCs w:val="14"/>
        </w:rPr>
      </w:pPr>
    </w:p>
    <w:p w14:paraId="24F2523F" w14:textId="77777777" w:rsidR="00A5134A" w:rsidRPr="0088338F" w:rsidRDefault="00A5134A" w:rsidP="00A5134A">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V prípade stanovenia reálnej hodnoty finančných nástrojov, ktoré nie sú preceňované na reálnu hodnotu, využíva banka metódu čistej súčasnej hodnoty s využitím základných úrokových sadzieb jednotlivých mien zverejňovaných centrálnymi bankami, ktoré aproximujú trhové sadzby. Bližšie informácie o metódach výpočtu reálnej hodnoty finančných nástrojov, ktoré nie sú preceňované na reálnu hodnotu, sú uvedené v poznámke </w:t>
      </w:r>
      <w:r w:rsidR="007D7F9B" w:rsidRPr="0088338F">
        <w:rPr>
          <w:rFonts w:ascii="Arial" w:hAnsi="Arial" w:cs="Arial"/>
          <w:sz w:val="20"/>
          <w:szCs w:val="20"/>
        </w:rPr>
        <w:t>43</w:t>
      </w:r>
      <w:r w:rsidRPr="0088338F">
        <w:rPr>
          <w:rFonts w:ascii="Arial" w:hAnsi="Arial" w:cs="Arial"/>
          <w:sz w:val="20"/>
          <w:szCs w:val="20"/>
        </w:rPr>
        <w:t>.</w:t>
      </w:r>
    </w:p>
    <w:p w14:paraId="7F49FEC5" w14:textId="77777777" w:rsidR="00A5134A" w:rsidRPr="0088338F" w:rsidRDefault="00A5134A" w:rsidP="00A5134A">
      <w:pPr>
        <w:tabs>
          <w:tab w:val="left" w:pos="1134"/>
          <w:tab w:val="right" w:pos="4820"/>
          <w:tab w:val="right" w:pos="6521"/>
          <w:tab w:val="right" w:pos="8222"/>
        </w:tabs>
        <w:jc w:val="both"/>
        <w:rPr>
          <w:rFonts w:ascii="Arial" w:hAnsi="Arial" w:cs="Arial"/>
          <w:sz w:val="14"/>
          <w:szCs w:val="14"/>
        </w:rPr>
      </w:pPr>
    </w:p>
    <w:p w14:paraId="54BFBB22" w14:textId="77777777" w:rsidR="00BB5146" w:rsidRPr="0088338F" w:rsidRDefault="00A5134A" w:rsidP="00797717">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Na stanovenie reálnej hodnoty finančných aktív a záväzkov používa banka informácie z</w:t>
      </w:r>
      <w:r w:rsidR="000813B2" w:rsidRPr="0088338F">
        <w:rPr>
          <w:rFonts w:ascii="Arial" w:hAnsi="Arial" w:cs="Arial"/>
          <w:sz w:val="20"/>
          <w:szCs w:val="20"/>
        </w:rPr>
        <w:t>o systému</w:t>
      </w:r>
      <w:r w:rsidRPr="0088338F">
        <w:rPr>
          <w:rFonts w:ascii="Arial" w:hAnsi="Arial" w:cs="Arial"/>
          <w:sz w:val="20"/>
          <w:szCs w:val="20"/>
        </w:rPr>
        <w:t xml:space="preserve"> Bloomberg, </w:t>
      </w:r>
      <w:r w:rsidR="00375862" w:rsidRPr="0088338F">
        <w:rPr>
          <w:rFonts w:ascii="Arial" w:hAnsi="Arial" w:cs="Arial"/>
          <w:sz w:val="20"/>
          <w:szCs w:val="20"/>
        </w:rPr>
        <w:t xml:space="preserve">resp. Reuters, </w:t>
      </w:r>
      <w:r w:rsidRPr="0088338F">
        <w:rPr>
          <w:rFonts w:ascii="Arial" w:hAnsi="Arial" w:cs="Arial"/>
          <w:sz w:val="20"/>
          <w:szCs w:val="20"/>
        </w:rPr>
        <w:t>kde sa cena tvorí prostredníctvom cien rôznych kontribútorov (subjektov finančného trhu prispievajúcich do informačného systému vlastné ceny) a</w:t>
      </w:r>
      <w:r w:rsidR="00327BC3" w:rsidRPr="0088338F">
        <w:rPr>
          <w:rFonts w:ascii="Arial" w:hAnsi="Arial" w:cs="Arial"/>
          <w:sz w:val="20"/>
          <w:szCs w:val="20"/>
        </w:rPr>
        <w:t xml:space="preserve"> z </w:t>
      </w:r>
      <w:r w:rsidRPr="0088338F">
        <w:rPr>
          <w:rFonts w:ascii="Arial" w:hAnsi="Arial" w:cs="Arial"/>
          <w:sz w:val="20"/>
          <w:szCs w:val="20"/>
        </w:rPr>
        <w:t>iných dôležitých trhových informácií.</w:t>
      </w:r>
    </w:p>
    <w:p w14:paraId="20009D8B" w14:textId="77777777" w:rsidR="000236BA" w:rsidRPr="0088338F" w:rsidRDefault="000236BA" w:rsidP="00A17B0F">
      <w:pPr>
        <w:tabs>
          <w:tab w:val="left" w:pos="0"/>
          <w:tab w:val="right" w:pos="4820"/>
          <w:tab w:val="right" w:pos="6521"/>
          <w:tab w:val="right" w:pos="8222"/>
        </w:tabs>
        <w:jc w:val="both"/>
        <w:rPr>
          <w:rFonts w:ascii="Arial" w:hAnsi="Arial" w:cs="Arial"/>
          <w:b/>
          <w:sz w:val="20"/>
          <w:szCs w:val="20"/>
        </w:rPr>
      </w:pPr>
    </w:p>
    <w:p w14:paraId="39CA07B2"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w:t>
      </w:r>
      <w:r w:rsidR="004458D0" w:rsidRPr="0088338F">
        <w:rPr>
          <w:rFonts w:ascii="Arial" w:hAnsi="Arial" w:cs="Arial"/>
          <w:b/>
          <w:sz w:val="20"/>
          <w:szCs w:val="20"/>
        </w:rPr>
        <w:t>8</w:t>
      </w:r>
      <w:r w:rsidRPr="0088338F">
        <w:rPr>
          <w:rFonts w:ascii="Arial" w:hAnsi="Arial" w:cs="Arial"/>
          <w:b/>
          <w:sz w:val="20"/>
          <w:szCs w:val="20"/>
        </w:rPr>
        <w:t>) Zníženie hodnoty finančného majetku</w:t>
      </w:r>
    </w:p>
    <w:p w14:paraId="1695FB54"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Banka k dátumu zostavenia účtovnej závierky posudzuje, či existuje nejaký objektívny dôkaz o znehodnotení finančného majetku alebo skupiny finančného majetku. Hodnota finančného majetku alebo skupiny finančného majetku sa znižuje len vtedy, ak existuje objektívny dôkaz o znížení v dôsledku jednej alebo viacerých udalostí, ktoré nastali po prvotnom vykázaní finančného majetku (vzniknutá stratová udalosť</w:t>
      </w:r>
      <w:r w:rsidR="00903FC2" w:rsidRPr="0088338F">
        <w:rPr>
          <w:rFonts w:ascii="Arial" w:hAnsi="Arial" w:cs="Arial"/>
          <w:sz w:val="20"/>
          <w:szCs w:val="20"/>
        </w:rPr>
        <w:t>)</w:t>
      </w:r>
      <w:r w:rsidRPr="0088338F">
        <w:rPr>
          <w:rFonts w:ascii="Arial" w:hAnsi="Arial" w:cs="Arial"/>
          <w:sz w:val="20"/>
          <w:szCs w:val="20"/>
        </w:rPr>
        <w:t xml:space="preserve">, pričom takáto stratová udalosť (alebo stratové udalosti) majú vplyv na predpokladané budúce peňažné toky finančného majetku alebo skupiny finančného majetku. Vplyv na peňažné toky sa musí dať spoľahlivo odhadnúť. Medzi dôkazy o znížení hodnoty patrí napríklad situácia, keď má dlžník (alebo skupina dlžníkov) finančné ťažkosti, mešká so splátkami, resp. neplatí úroky a istinu, </w:t>
      </w:r>
      <w:r w:rsidR="00327BC3" w:rsidRPr="0088338F">
        <w:rPr>
          <w:rFonts w:ascii="Arial" w:hAnsi="Arial" w:cs="Arial"/>
          <w:sz w:val="20"/>
          <w:szCs w:val="20"/>
        </w:rPr>
        <w:t xml:space="preserve">keď </w:t>
      </w:r>
      <w:r w:rsidRPr="0088338F">
        <w:rPr>
          <w:rFonts w:ascii="Arial" w:hAnsi="Arial" w:cs="Arial"/>
          <w:sz w:val="20"/>
          <w:szCs w:val="20"/>
        </w:rPr>
        <w:t>existuje pravdepodobnosť jeho vstupu do konkurzného konania alebo nevyhnutnej reštrukturalizácie, a iné prípady, v rámci ktorých sledovateľné údaje naznačujú, že v predpokladaných budúcich peňažných tokoch existuje merateľný pokles.</w:t>
      </w:r>
    </w:p>
    <w:p w14:paraId="12D779D2" w14:textId="77777777" w:rsidR="00A17B0F" w:rsidRPr="0088338F" w:rsidRDefault="00A17B0F" w:rsidP="00A17B0F">
      <w:pPr>
        <w:tabs>
          <w:tab w:val="left" w:pos="0"/>
          <w:tab w:val="right" w:pos="4820"/>
          <w:tab w:val="right" w:pos="6521"/>
          <w:tab w:val="right" w:pos="8222"/>
        </w:tabs>
        <w:jc w:val="both"/>
        <w:rPr>
          <w:rFonts w:ascii="Arial" w:hAnsi="Arial" w:cs="Arial"/>
          <w:b/>
          <w:sz w:val="14"/>
          <w:szCs w:val="14"/>
        </w:rPr>
      </w:pPr>
    </w:p>
    <w:p w14:paraId="1FFC7CB3" w14:textId="77777777" w:rsidR="00D31134" w:rsidRDefault="00D31134">
      <w:pPr>
        <w:rPr>
          <w:rFonts w:ascii="Arial" w:hAnsi="Arial" w:cs="Arial"/>
          <w:b/>
          <w:sz w:val="20"/>
          <w:szCs w:val="20"/>
        </w:rPr>
      </w:pPr>
      <w:r>
        <w:rPr>
          <w:rFonts w:ascii="Arial" w:hAnsi="Arial" w:cs="Arial"/>
          <w:b/>
          <w:sz w:val="20"/>
          <w:szCs w:val="20"/>
        </w:rPr>
        <w:br w:type="page"/>
      </w:r>
    </w:p>
    <w:p w14:paraId="6F691885" w14:textId="138CEA12"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lastRenderedPageBreak/>
        <w:t>(i) Pohľadávky voči bankám a klientom</w:t>
      </w:r>
    </w:p>
    <w:p w14:paraId="0C8740B5" w14:textId="33ACB6A3" w:rsidR="000236BA" w:rsidRPr="0088338F" w:rsidRDefault="00A17B0F" w:rsidP="004D525D">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Pre pohľadávky voči bankám a úvery poskytnuté klientom vykázané v amortizovanej hodnote </w:t>
      </w:r>
      <w:r w:rsidR="005A01BC" w:rsidRPr="0088338F">
        <w:rPr>
          <w:rFonts w:ascii="Arial" w:hAnsi="Arial" w:cs="Arial"/>
          <w:sz w:val="20"/>
          <w:szCs w:val="20"/>
        </w:rPr>
        <w:t xml:space="preserve">banka </w:t>
      </w:r>
      <w:r w:rsidRPr="0088338F">
        <w:rPr>
          <w:rFonts w:ascii="Arial" w:hAnsi="Arial" w:cs="Arial"/>
          <w:sz w:val="20"/>
          <w:szCs w:val="20"/>
        </w:rPr>
        <w:t xml:space="preserve">najprv samostatne posudzuje, či existuje objektívny dôkaz o znížení hodnoty individuálne významných položiek finančného majetku, resp. vykoná kolektívne posúdenie pre individuálne nevýznamné položky finančného majetku. Ak </w:t>
      </w:r>
      <w:r w:rsidR="005A01BC" w:rsidRPr="0088338F">
        <w:rPr>
          <w:rFonts w:ascii="Arial" w:hAnsi="Arial" w:cs="Arial"/>
          <w:sz w:val="20"/>
          <w:szCs w:val="20"/>
        </w:rPr>
        <w:t xml:space="preserve">banka </w:t>
      </w:r>
      <w:r w:rsidRPr="0088338F">
        <w:rPr>
          <w:rFonts w:ascii="Arial" w:hAnsi="Arial" w:cs="Arial"/>
          <w:sz w:val="20"/>
          <w:szCs w:val="20"/>
        </w:rPr>
        <w:t xml:space="preserve">usúdi, že neexistuje objektívny dôkaz o znížení hodnoty samostatne posudzovaného finančného majetku </w:t>
      </w:r>
      <w:r w:rsidR="00807BD5" w:rsidRPr="0088338F">
        <w:rPr>
          <w:rFonts w:ascii="Arial" w:hAnsi="Arial" w:cs="Arial"/>
          <w:sz w:val="20"/>
          <w:szCs w:val="20"/>
        </w:rPr>
        <w:t>a takýto majetok vykazuje spoločné znaky,</w:t>
      </w:r>
      <w:r w:rsidR="007E62C3" w:rsidRPr="0088338F">
        <w:rPr>
          <w:rFonts w:ascii="Arial" w:hAnsi="Arial" w:cs="Arial"/>
          <w:sz w:val="20"/>
          <w:szCs w:val="20"/>
        </w:rPr>
        <w:t xml:space="preserve"> </w:t>
      </w:r>
      <w:r w:rsidR="00807BD5" w:rsidRPr="0088338F">
        <w:rPr>
          <w:rFonts w:ascii="Arial" w:hAnsi="Arial" w:cs="Arial"/>
          <w:sz w:val="20"/>
          <w:szCs w:val="20"/>
        </w:rPr>
        <w:t xml:space="preserve">charakterizujúce jednotlivé portfóliá, vytvorené bankou </w:t>
      </w:r>
      <w:r w:rsidRPr="0088338F">
        <w:rPr>
          <w:rFonts w:ascii="Arial" w:hAnsi="Arial" w:cs="Arial"/>
          <w:sz w:val="20"/>
          <w:szCs w:val="20"/>
        </w:rPr>
        <w:t>bez ohľadu na to</w:t>
      </w:r>
      <w:r w:rsidR="00327BC3" w:rsidRPr="0088338F">
        <w:rPr>
          <w:rFonts w:ascii="Arial" w:hAnsi="Arial" w:cs="Arial"/>
          <w:sz w:val="20"/>
          <w:szCs w:val="20"/>
        </w:rPr>
        <w:t>,</w:t>
      </w:r>
      <w:r w:rsidRPr="0088338F">
        <w:rPr>
          <w:rFonts w:ascii="Arial" w:hAnsi="Arial" w:cs="Arial"/>
          <w:sz w:val="20"/>
          <w:szCs w:val="20"/>
        </w:rPr>
        <w:t xml:space="preserve"> či </w:t>
      </w:r>
      <w:r w:rsidR="00807BD5" w:rsidRPr="0088338F">
        <w:rPr>
          <w:rFonts w:ascii="Arial" w:hAnsi="Arial" w:cs="Arial"/>
          <w:sz w:val="20"/>
          <w:szCs w:val="20"/>
        </w:rPr>
        <w:t xml:space="preserve">sa jedná o </w:t>
      </w:r>
      <w:r w:rsidRPr="0088338F">
        <w:rPr>
          <w:rFonts w:ascii="Arial" w:hAnsi="Arial" w:cs="Arial"/>
          <w:sz w:val="20"/>
          <w:szCs w:val="20"/>
        </w:rPr>
        <w:t>individuálne významný alebo nevýznamný</w:t>
      </w:r>
      <w:r w:rsidR="00807BD5" w:rsidRPr="0088338F">
        <w:rPr>
          <w:rFonts w:ascii="Arial" w:hAnsi="Arial" w:cs="Arial"/>
          <w:sz w:val="20"/>
          <w:szCs w:val="20"/>
        </w:rPr>
        <w:t xml:space="preserve"> majetok</w:t>
      </w:r>
      <w:r w:rsidRPr="0088338F">
        <w:rPr>
          <w:rFonts w:ascii="Arial" w:hAnsi="Arial" w:cs="Arial"/>
          <w:sz w:val="20"/>
          <w:szCs w:val="20"/>
        </w:rPr>
        <w:t xml:space="preserve">, </w:t>
      </w:r>
      <w:r w:rsidR="00807BD5" w:rsidRPr="0088338F">
        <w:rPr>
          <w:rFonts w:ascii="Arial" w:hAnsi="Arial" w:cs="Arial"/>
          <w:sz w:val="20"/>
          <w:szCs w:val="20"/>
        </w:rPr>
        <w:t xml:space="preserve">banka </w:t>
      </w:r>
      <w:r w:rsidRPr="0088338F">
        <w:rPr>
          <w:rFonts w:ascii="Arial" w:hAnsi="Arial" w:cs="Arial"/>
          <w:sz w:val="20"/>
          <w:szCs w:val="20"/>
        </w:rPr>
        <w:t xml:space="preserve">zahrnie takýto majetok do skupiny finančných aktív s rovnakým typom úverového rizika a zníženie hodnoty týchto aktív posudzuje </w:t>
      </w:r>
      <w:r w:rsidR="00807BD5" w:rsidRPr="0088338F">
        <w:rPr>
          <w:rFonts w:ascii="Arial" w:hAnsi="Arial" w:cs="Arial"/>
          <w:sz w:val="20"/>
          <w:szCs w:val="20"/>
        </w:rPr>
        <w:t xml:space="preserve">aj </w:t>
      </w:r>
      <w:r w:rsidRPr="0088338F">
        <w:rPr>
          <w:rFonts w:ascii="Arial" w:hAnsi="Arial" w:cs="Arial"/>
          <w:sz w:val="20"/>
          <w:szCs w:val="20"/>
        </w:rPr>
        <w:t>kolektívne. Aktíva, pri ktorých sa zníženie hodnoty vypočíta samostatne</w:t>
      </w:r>
      <w:r w:rsidR="00327BC3" w:rsidRPr="0088338F">
        <w:rPr>
          <w:rFonts w:ascii="Arial" w:hAnsi="Arial" w:cs="Arial"/>
          <w:sz w:val="20"/>
          <w:szCs w:val="20"/>
        </w:rPr>
        <w:t>,</w:t>
      </w:r>
      <w:r w:rsidRPr="0088338F">
        <w:rPr>
          <w:rFonts w:ascii="Arial" w:hAnsi="Arial" w:cs="Arial"/>
          <w:sz w:val="20"/>
          <w:szCs w:val="20"/>
        </w:rPr>
        <w:t xml:space="preserve"> sa nezahŕňajú do kolektívneho posudzovania zníženia hodnoty aktív.</w:t>
      </w:r>
    </w:p>
    <w:p w14:paraId="03E766B5" w14:textId="77777777" w:rsidR="008544EC" w:rsidRPr="0088338F" w:rsidRDefault="008544EC" w:rsidP="004D525D">
      <w:pPr>
        <w:tabs>
          <w:tab w:val="left" w:pos="0"/>
          <w:tab w:val="right" w:pos="4820"/>
          <w:tab w:val="right" w:pos="6521"/>
          <w:tab w:val="right" w:pos="8222"/>
        </w:tabs>
        <w:jc w:val="both"/>
        <w:rPr>
          <w:rFonts w:ascii="Arial" w:hAnsi="Arial" w:cs="Arial"/>
          <w:sz w:val="20"/>
          <w:szCs w:val="20"/>
        </w:rPr>
      </w:pPr>
    </w:p>
    <w:p w14:paraId="6B95891F" w14:textId="445BB04D"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Ak existuje objektívny dôkaz o vzniku straty zo zníženia hodnoty, výška straty sa oceňuje ako rozdiel medzi účtovnou hodnotou majetku a súčasnou hodnotou očakávaných budúcich peňažných tokov (bez zohľadnenia budúcich očakávaných strát, ktoré </w:t>
      </w:r>
      <w:r w:rsidR="00327BC3" w:rsidRPr="0088338F">
        <w:rPr>
          <w:rFonts w:ascii="Arial" w:hAnsi="Arial" w:cs="Arial"/>
          <w:sz w:val="20"/>
          <w:szCs w:val="20"/>
        </w:rPr>
        <w:t xml:space="preserve">však </w:t>
      </w:r>
      <w:r w:rsidRPr="0088338F">
        <w:rPr>
          <w:rFonts w:ascii="Arial" w:hAnsi="Arial" w:cs="Arial"/>
          <w:sz w:val="20"/>
          <w:szCs w:val="20"/>
        </w:rPr>
        <w:t>ešte nevznikli k dátumu účtovnej závierky). Účtovná hodnota majetku sa znižuje pomocou účtu opravných položiek, pričom výška straty sa vykáže vo výkaze ziskov a strát. Časové rozlíšenie výnosových úrokov sa naďalej vykazuje zo zníženej účtovnej hodnoty na základe pôvodnej efektívnej úrokovej miery majetku. Ak sa počas ďalšieho roka výška odhadovanej straty zo zníženia hodnoty zvýši alebo zníži v dôsledku udalosti, ktorá nastane po vykázaní príslušného zníženia hodnoty, predtým vykázaná strata zo zníženia hodnoty sa zvýši alebo zníži v prospech, resp. na ťarchu</w:t>
      </w:r>
      <w:r w:rsidR="00327BC3" w:rsidRPr="0088338F">
        <w:rPr>
          <w:rFonts w:ascii="Arial" w:hAnsi="Arial" w:cs="Arial"/>
          <w:sz w:val="20"/>
          <w:szCs w:val="20"/>
        </w:rPr>
        <w:t>,</w:t>
      </w:r>
      <w:r w:rsidRPr="0088338F">
        <w:rPr>
          <w:rFonts w:ascii="Arial" w:hAnsi="Arial" w:cs="Arial"/>
          <w:sz w:val="20"/>
          <w:szCs w:val="20"/>
        </w:rPr>
        <w:t xml:space="preserve"> účtu opravných položiek. </w:t>
      </w:r>
      <w:r w:rsidR="00807BD5" w:rsidRPr="0088338F">
        <w:rPr>
          <w:rFonts w:ascii="Arial" w:hAnsi="Arial" w:cs="Arial"/>
          <w:sz w:val="20"/>
          <w:szCs w:val="20"/>
        </w:rPr>
        <w:t>Nevymoženú časť úverov banka odpíše ako stratu, po vyčerpaní všetkých prostriedkov na vymoženie pohľadávky, vrátane realizácie záložného práva.</w:t>
      </w:r>
    </w:p>
    <w:p w14:paraId="62BA601F" w14:textId="77777777" w:rsidR="00A17B0F" w:rsidRPr="0088338F" w:rsidRDefault="00A17B0F" w:rsidP="00A17B0F">
      <w:pPr>
        <w:tabs>
          <w:tab w:val="left" w:pos="0"/>
          <w:tab w:val="right" w:pos="4820"/>
          <w:tab w:val="right" w:pos="6521"/>
          <w:tab w:val="right" w:pos="8222"/>
        </w:tabs>
        <w:jc w:val="both"/>
        <w:rPr>
          <w:rFonts w:ascii="Arial" w:hAnsi="Arial" w:cs="Arial"/>
          <w:sz w:val="14"/>
          <w:szCs w:val="14"/>
        </w:rPr>
      </w:pPr>
    </w:p>
    <w:p w14:paraId="23067AD4"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Súčasná hodnota očakávaných budúcich peňažných tokov sa diskontuje pôvodnou efektívnou úrokovou mierou finančného majetku. V prípade pohľadávky s variabilnou úrokovou sadzbou predstavuje súčasná efektívna úroková miera diskontnú sadzbu na vyčíslenie straty zo zníženia hodnoty. Výpočet súčasnej hodnoty očakávaných budúcich peňažných tokov zabezpečeného finančného majetku odráža aj peňažné toky, ktoré </w:t>
      </w:r>
      <w:r w:rsidR="00807BD5" w:rsidRPr="0088338F">
        <w:rPr>
          <w:rFonts w:ascii="Arial" w:hAnsi="Arial" w:cs="Arial"/>
          <w:sz w:val="20"/>
          <w:szCs w:val="20"/>
        </w:rPr>
        <w:t>budú generované z realizácie</w:t>
      </w:r>
      <w:r w:rsidRPr="0088338F">
        <w:rPr>
          <w:rFonts w:ascii="Arial" w:hAnsi="Arial" w:cs="Arial"/>
          <w:sz w:val="20"/>
          <w:szCs w:val="20"/>
        </w:rPr>
        <w:t xml:space="preserve"> kolaterálu po zohľadnení súvisiacich nákladov na predaj.</w:t>
      </w:r>
    </w:p>
    <w:p w14:paraId="55027111" w14:textId="77777777" w:rsidR="000236BA" w:rsidRPr="0088338F" w:rsidRDefault="000236BA" w:rsidP="00A17B0F">
      <w:pPr>
        <w:tabs>
          <w:tab w:val="left" w:pos="0"/>
          <w:tab w:val="right" w:pos="4820"/>
          <w:tab w:val="right" w:pos="6521"/>
          <w:tab w:val="right" w:pos="8222"/>
        </w:tabs>
        <w:jc w:val="both"/>
        <w:rPr>
          <w:rFonts w:ascii="Arial" w:hAnsi="Arial" w:cs="Arial"/>
          <w:sz w:val="20"/>
          <w:szCs w:val="20"/>
        </w:rPr>
      </w:pPr>
    </w:p>
    <w:p w14:paraId="4AA2CA44" w14:textId="3BCA253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Na účely kolektívneho </w:t>
      </w:r>
      <w:r w:rsidR="00807BD5" w:rsidRPr="0088338F">
        <w:rPr>
          <w:rFonts w:ascii="Arial" w:hAnsi="Arial" w:cs="Arial"/>
          <w:sz w:val="20"/>
          <w:szCs w:val="20"/>
        </w:rPr>
        <w:t>vykázania</w:t>
      </w:r>
      <w:r w:rsidRPr="0088338F">
        <w:rPr>
          <w:rFonts w:ascii="Arial" w:hAnsi="Arial" w:cs="Arial"/>
          <w:sz w:val="20"/>
          <w:szCs w:val="20"/>
        </w:rPr>
        <w:t xml:space="preserve"> zníženia hodnoty sa finančný majetok zoskupuje na základe interného mechanizmu kategorizácie pohľadávok, ktorý </w:t>
      </w:r>
      <w:r w:rsidR="00807BD5" w:rsidRPr="0088338F">
        <w:rPr>
          <w:rFonts w:ascii="Arial" w:hAnsi="Arial" w:cs="Arial"/>
          <w:sz w:val="20"/>
          <w:szCs w:val="20"/>
        </w:rPr>
        <w:t>zohľadňuje rovnaké</w:t>
      </w:r>
      <w:r w:rsidRPr="0088338F">
        <w:rPr>
          <w:rFonts w:ascii="Arial" w:hAnsi="Arial" w:cs="Arial"/>
          <w:sz w:val="20"/>
          <w:szCs w:val="20"/>
        </w:rPr>
        <w:t xml:space="preserve"> vlastnosti kreditného rizika</w:t>
      </w:r>
      <w:r w:rsidR="00327BC3" w:rsidRPr="0088338F">
        <w:rPr>
          <w:rFonts w:ascii="Arial" w:hAnsi="Arial" w:cs="Arial"/>
          <w:sz w:val="20"/>
          <w:szCs w:val="20"/>
        </w:rPr>
        <w:t>,</w:t>
      </w:r>
      <w:r w:rsidRPr="0088338F">
        <w:rPr>
          <w:rFonts w:ascii="Arial" w:hAnsi="Arial" w:cs="Arial"/>
          <w:sz w:val="20"/>
          <w:szCs w:val="20"/>
        </w:rPr>
        <w:t xml:space="preserve"> </w:t>
      </w:r>
      <w:r w:rsidR="00807BD5" w:rsidRPr="0088338F">
        <w:rPr>
          <w:rFonts w:ascii="Arial" w:hAnsi="Arial" w:cs="Arial"/>
          <w:sz w:val="20"/>
          <w:szCs w:val="20"/>
        </w:rPr>
        <w:t>najmä</w:t>
      </w:r>
      <w:r w:rsidRPr="0088338F">
        <w:rPr>
          <w:rFonts w:ascii="Arial" w:hAnsi="Arial" w:cs="Arial"/>
          <w:sz w:val="20"/>
          <w:szCs w:val="20"/>
        </w:rPr>
        <w:t xml:space="preserve"> typ </w:t>
      </w:r>
      <w:r w:rsidR="00807BD5" w:rsidRPr="0088338F">
        <w:rPr>
          <w:rFonts w:ascii="Arial" w:hAnsi="Arial" w:cs="Arial"/>
          <w:sz w:val="20"/>
          <w:szCs w:val="20"/>
        </w:rPr>
        <w:t>finančného aktíva</w:t>
      </w:r>
      <w:r w:rsidRPr="0088338F">
        <w:rPr>
          <w:rFonts w:ascii="Arial" w:hAnsi="Arial" w:cs="Arial"/>
          <w:sz w:val="20"/>
          <w:szCs w:val="20"/>
        </w:rPr>
        <w:t>, odvetvie</w:t>
      </w:r>
      <w:r w:rsidR="00807BD5" w:rsidRPr="0088338F">
        <w:rPr>
          <w:rFonts w:ascii="Arial" w:hAnsi="Arial" w:cs="Arial"/>
          <w:sz w:val="20"/>
          <w:szCs w:val="20"/>
        </w:rPr>
        <w:t xml:space="preserve"> hospodárstva</w:t>
      </w:r>
      <w:r w:rsidRPr="0088338F">
        <w:rPr>
          <w:rFonts w:ascii="Arial" w:hAnsi="Arial" w:cs="Arial"/>
          <w:sz w:val="20"/>
          <w:szCs w:val="20"/>
        </w:rPr>
        <w:t xml:space="preserve">, </w:t>
      </w:r>
      <w:r w:rsidR="00807BD5" w:rsidRPr="0088338F">
        <w:rPr>
          <w:rFonts w:ascii="Arial" w:hAnsi="Arial" w:cs="Arial"/>
          <w:sz w:val="20"/>
          <w:szCs w:val="20"/>
        </w:rPr>
        <w:t>spôsob</w:t>
      </w:r>
      <w:r w:rsidRPr="0088338F">
        <w:rPr>
          <w:rFonts w:ascii="Arial" w:hAnsi="Arial" w:cs="Arial"/>
          <w:sz w:val="20"/>
          <w:szCs w:val="20"/>
        </w:rPr>
        <w:t xml:space="preserve"> zabezpečenia a iné relevantné faktory.</w:t>
      </w:r>
    </w:p>
    <w:p w14:paraId="623675D5" w14:textId="77777777" w:rsidR="004458D0" w:rsidRPr="0088338F" w:rsidRDefault="004458D0" w:rsidP="00A5134A">
      <w:pPr>
        <w:tabs>
          <w:tab w:val="left" w:pos="0"/>
          <w:tab w:val="right" w:pos="4820"/>
          <w:tab w:val="right" w:pos="6521"/>
          <w:tab w:val="right" w:pos="8222"/>
        </w:tabs>
        <w:jc w:val="both"/>
        <w:rPr>
          <w:rFonts w:ascii="Arial" w:hAnsi="Arial" w:cs="Arial"/>
          <w:sz w:val="14"/>
          <w:szCs w:val="14"/>
        </w:rPr>
      </w:pPr>
    </w:p>
    <w:p w14:paraId="5E535221" w14:textId="22F2BB02" w:rsidR="00A5134A" w:rsidRPr="0088338F" w:rsidRDefault="00807BD5" w:rsidP="00A5134A">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Vybrané typy úverov voči korporátnym klientom</w:t>
      </w:r>
      <w:r w:rsidR="00D36E5F" w:rsidRPr="0088338F">
        <w:rPr>
          <w:rFonts w:ascii="Arial" w:hAnsi="Arial" w:cs="Arial"/>
          <w:sz w:val="20"/>
          <w:szCs w:val="20"/>
        </w:rPr>
        <w:t xml:space="preserve">, pri ktorých nebolo zistené znehodnotenie na individuálnom základe, sú </w:t>
      </w:r>
      <w:r w:rsidRPr="0088338F">
        <w:rPr>
          <w:rFonts w:ascii="Arial" w:hAnsi="Arial" w:cs="Arial"/>
          <w:sz w:val="20"/>
          <w:szCs w:val="20"/>
        </w:rPr>
        <w:t>zaradené</w:t>
      </w:r>
      <w:r w:rsidR="00D36E5F" w:rsidRPr="0088338F">
        <w:rPr>
          <w:rFonts w:ascii="Arial" w:hAnsi="Arial" w:cs="Arial"/>
          <w:sz w:val="20"/>
          <w:szCs w:val="20"/>
        </w:rPr>
        <w:t xml:space="preserve"> do skupín </w:t>
      </w:r>
      <w:r w:rsidRPr="0088338F">
        <w:rPr>
          <w:rFonts w:ascii="Arial" w:hAnsi="Arial" w:cs="Arial"/>
          <w:sz w:val="20"/>
          <w:szCs w:val="20"/>
        </w:rPr>
        <w:t xml:space="preserve">- portfólií </w:t>
      </w:r>
      <w:r w:rsidR="00D36E5F" w:rsidRPr="0088338F">
        <w:rPr>
          <w:rFonts w:ascii="Arial" w:hAnsi="Arial" w:cs="Arial"/>
          <w:sz w:val="20"/>
          <w:szCs w:val="20"/>
        </w:rPr>
        <w:t xml:space="preserve">s podobnými rizikovými charakteristikami. Na portfóliá, pri ktorých </w:t>
      </w:r>
      <w:r w:rsidRPr="0088338F">
        <w:rPr>
          <w:rFonts w:ascii="Arial" w:hAnsi="Arial" w:cs="Arial"/>
          <w:sz w:val="20"/>
          <w:szCs w:val="20"/>
        </w:rPr>
        <w:t>bolo identifikované</w:t>
      </w:r>
      <w:r w:rsidR="002B28AE" w:rsidRPr="0088338F">
        <w:rPr>
          <w:rFonts w:ascii="Arial" w:hAnsi="Arial" w:cs="Arial"/>
          <w:sz w:val="20"/>
          <w:szCs w:val="20"/>
        </w:rPr>
        <w:t xml:space="preserve"> </w:t>
      </w:r>
      <w:r w:rsidRPr="0088338F">
        <w:rPr>
          <w:rFonts w:ascii="Arial" w:hAnsi="Arial" w:cs="Arial"/>
          <w:sz w:val="20"/>
          <w:szCs w:val="20"/>
        </w:rPr>
        <w:t>riziko, vyplývajúce zo</w:t>
      </w:r>
      <w:r w:rsidR="00D36E5F" w:rsidRPr="0088338F">
        <w:rPr>
          <w:rFonts w:ascii="Arial" w:hAnsi="Arial" w:cs="Arial"/>
          <w:sz w:val="20"/>
          <w:szCs w:val="20"/>
        </w:rPr>
        <w:t xml:space="preserve"> zmeny ekonomických podmienok, poklesu na príslušných trhoch, bola odhadnutá skupinová </w:t>
      </w:r>
      <w:r w:rsidR="007C4FC3" w:rsidRPr="0088338F">
        <w:rPr>
          <w:rFonts w:ascii="Arial" w:hAnsi="Arial" w:cs="Arial"/>
          <w:sz w:val="20"/>
          <w:szCs w:val="20"/>
        </w:rPr>
        <w:t xml:space="preserve">(portfóliová) </w:t>
      </w:r>
      <w:r w:rsidR="00D36E5F" w:rsidRPr="0088338F">
        <w:rPr>
          <w:rFonts w:ascii="Arial" w:hAnsi="Arial" w:cs="Arial"/>
          <w:sz w:val="20"/>
          <w:szCs w:val="20"/>
        </w:rPr>
        <w:t>opravná položka. Cieľom skupinových opravných položiek je zohľadniť riziko strát, ktoré ešte neboli identifikované na individuálnom základe, ale predpokladá sa na základe historickej skúsenosti a </w:t>
      </w:r>
      <w:r w:rsidRPr="0088338F">
        <w:rPr>
          <w:rFonts w:ascii="Arial" w:hAnsi="Arial" w:cs="Arial"/>
          <w:sz w:val="20"/>
          <w:szCs w:val="20"/>
        </w:rPr>
        <w:t xml:space="preserve">najmä očakávaného </w:t>
      </w:r>
      <w:r w:rsidR="00D36E5F" w:rsidRPr="0088338F">
        <w:rPr>
          <w:rFonts w:ascii="Arial" w:hAnsi="Arial" w:cs="Arial"/>
          <w:sz w:val="20"/>
          <w:szCs w:val="20"/>
        </w:rPr>
        <w:t xml:space="preserve">dopadu súčasných ekonomických podmienok na trhu, že sú obsiahnuté v jednotlivých portfóliách k dátumu </w:t>
      </w:r>
      <w:r w:rsidRPr="0088338F">
        <w:rPr>
          <w:rFonts w:ascii="Arial" w:hAnsi="Arial" w:cs="Arial"/>
          <w:sz w:val="20"/>
          <w:szCs w:val="20"/>
        </w:rPr>
        <w:t xml:space="preserve">zostavenia </w:t>
      </w:r>
      <w:r w:rsidR="00D36E5F" w:rsidRPr="0088338F">
        <w:rPr>
          <w:rFonts w:ascii="Arial" w:hAnsi="Arial" w:cs="Arial"/>
          <w:sz w:val="20"/>
          <w:szCs w:val="20"/>
        </w:rPr>
        <w:t>súvahy</w:t>
      </w:r>
      <w:r w:rsidR="00A5134A" w:rsidRPr="0088338F">
        <w:rPr>
          <w:rFonts w:ascii="Arial" w:hAnsi="Arial" w:cs="Arial"/>
          <w:sz w:val="20"/>
          <w:szCs w:val="20"/>
        </w:rPr>
        <w:t xml:space="preserve">. </w:t>
      </w:r>
    </w:p>
    <w:p w14:paraId="49372AEF" w14:textId="77777777" w:rsidR="00BE51EE" w:rsidRPr="0088338F" w:rsidRDefault="00BE51EE" w:rsidP="000715D9">
      <w:pPr>
        <w:tabs>
          <w:tab w:val="left" w:pos="0"/>
          <w:tab w:val="right" w:pos="4820"/>
          <w:tab w:val="right" w:pos="6521"/>
          <w:tab w:val="right" w:pos="8222"/>
        </w:tabs>
        <w:jc w:val="both"/>
        <w:rPr>
          <w:rFonts w:ascii="Arial" w:hAnsi="Arial" w:cs="Arial"/>
          <w:sz w:val="20"/>
          <w:szCs w:val="20"/>
        </w:rPr>
      </w:pPr>
    </w:p>
    <w:p w14:paraId="6476EE16" w14:textId="52E06B2B" w:rsidR="000715D9" w:rsidRPr="0088338F" w:rsidRDefault="000715D9" w:rsidP="000715D9">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V roku 201</w:t>
      </w:r>
      <w:r w:rsidR="007C4FC3" w:rsidRPr="0088338F">
        <w:rPr>
          <w:rFonts w:ascii="Arial" w:hAnsi="Arial" w:cs="Arial"/>
          <w:sz w:val="20"/>
          <w:szCs w:val="20"/>
        </w:rPr>
        <w:t>6</w:t>
      </w:r>
      <w:r w:rsidRPr="0088338F">
        <w:rPr>
          <w:rFonts w:ascii="Arial" w:hAnsi="Arial" w:cs="Arial"/>
          <w:sz w:val="20"/>
          <w:szCs w:val="20"/>
        </w:rPr>
        <w:t xml:space="preserve"> neboli vytvorené žiadne nové portfóliá úverov. Aktuálne má banka vytvorených 8 portfólií pre skupinové oceňovanie pohľadávok so spoločnými znakmi, z čoho štyri portfóli</w:t>
      </w:r>
      <w:r w:rsidR="007C4FC3" w:rsidRPr="0088338F">
        <w:rPr>
          <w:rFonts w:ascii="Arial" w:hAnsi="Arial" w:cs="Arial"/>
          <w:sz w:val="20"/>
          <w:szCs w:val="20"/>
        </w:rPr>
        <w:t>á</w:t>
      </w:r>
      <w:r w:rsidRPr="0088338F">
        <w:rPr>
          <w:rFonts w:ascii="Arial" w:hAnsi="Arial" w:cs="Arial"/>
          <w:sz w:val="20"/>
          <w:szCs w:val="20"/>
        </w:rPr>
        <w:t xml:space="preserve"> boli vytvorené pre úvery poskytované fyzickým osobám a štyri portfóli</w:t>
      </w:r>
      <w:r w:rsidR="007C4FC3" w:rsidRPr="0088338F">
        <w:rPr>
          <w:rFonts w:ascii="Arial" w:hAnsi="Arial" w:cs="Arial"/>
          <w:sz w:val="20"/>
          <w:szCs w:val="20"/>
        </w:rPr>
        <w:t>á</w:t>
      </w:r>
      <w:r w:rsidRPr="0088338F">
        <w:rPr>
          <w:rFonts w:ascii="Arial" w:hAnsi="Arial" w:cs="Arial"/>
          <w:sz w:val="20"/>
          <w:szCs w:val="20"/>
        </w:rPr>
        <w:t xml:space="preserve"> pre </w:t>
      </w:r>
      <w:r w:rsidR="007C4FC3" w:rsidRPr="0088338F">
        <w:rPr>
          <w:rFonts w:ascii="Arial" w:hAnsi="Arial" w:cs="Arial"/>
          <w:sz w:val="20"/>
          <w:szCs w:val="20"/>
        </w:rPr>
        <w:t xml:space="preserve">korporátne </w:t>
      </w:r>
      <w:r w:rsidRPr="0088338F">
        <w:rPr>
          <w:rFonts w:ascii="Arial" w:hAnsi="Arial" w:cs="Arial"/>
          <w:sz w:val="20"/>
          <w:szCs w:val="20"/>
        </w:rPr>
        <w:t xml:space="preserve">úvery, resp. </w:t>
      </w:r>
      <w:r w:rsidR="007C4FC3" w:rsidRPr="0088338F">
        <w:rPr>
          <w:rFonts w:ascii="Arial" w:hAnsi="Arial" w:cs="Arial"/>
          <w:sz w:val="20"/>
          <w:szCs w:val="20"/>
        </w:rPr>
        <w:t>p</w:t>
      </w:r>
      <w:r w:rsidRPr="0088338F">
        <w:rPr>
          <w:rFonts w:ascii="Arial" w:hAnsi="Arial" w:cs="Arial"/>
          <w:sz w:val="20"/>
          <w:szCs w:val="20"/>
        </w:rPr>
        <w:t>rojektové</w:t>
      </w:r>
      <w:r w:rsidR="007C4FC3" w:rsidRPr="0088338F">
        <w:rPr>
          <w:rFonts w:ascii="Arial" w:hAnsi="Arial" w:cs="Arial"/>
          <w:sz w:val="20"/>
          <w:szCs w:val="20"/>
        </w:rPr>
        <w:t xml:space="preserve"> financovanie</w:t>
      </w:r>
      <w:r w:rsidRPr="0088338F">
        <w:rPr>
          <w:rFonts w:ascii="Arial" w:hAnsi="Arial" w:cs="Arial"/>
          <w:sz w:val="20"/>
          <w:szCs w:val="20"/>
        </w:rPr>
        <w:t>.</w:t>
      </w:r>
    </w:p>
    <w:p w14:paraId="4198A4F9" w14:textId="77777777" w:rsidR="000715D9" w:rsidRPr="0088338F" w:rsidRDefault="000715D9" w:rsidP="00A5134A">
      <w:pPr>
        <w:tabs>
          <w:tab w:val="left" w:pos="0"/>
          <w:tab w:val="right" w:pos="4820"/>
          <w:tab w:val="right" w:pos="6521"/>
          <w:tab w:val="right" w:pos="8222"/>
        </w:tabs>
        <w:jc w:val="both"/>
        <w:rPr>
          <w:rFonts w:ascii="Arial" w:hAnsi="Arial" w:cs="Arial"/>
          <w:sz w:val="20"/>
          <w:szCs w:val="20"/>
        </w:rPr>
      </w:pPr>
    </w:p>
    <w:p w14:paraId="20F0DBA5" w14:textId="77777777" w:rsidR="00D31134" w:rsidRDefault="00D31134">
      <w:pPr>
        <w:rPr>
          <w:rFonts w:ascii="Arial" w:hAnsi="Arial" w:cs="Arial"/>
          <w:sz w:val="20"/>
          <w:szCs w:val="20"/>
        </w:rPr>
      </w:pPr>
      <w:r>
        <w:rPr>
          <w:rFonts w:ascii="Arial" w:hAnsi="Arial" w:cs="Arial"/>
          <w:sz w:val="20"/>
          <w:szCs w:val="20"/>
        </w:rPr>
        <w:br w:type="page"/>
      </w:r>
    </w:p>
    <w:p w14:paraId="1551E46B" w14:textId="5EB355D6" w:rsidR="000236BA" w:rsidRPr="0088338F" w:rsidRDefault="009C56E0" w:rsidP="004D525D">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lastRenderedPageBreak/>
        <w:t xml:space="preserve">Banka nemá dostatočne dlhý časový horizont dát na výpočet historickej miery nesplácania úverov (default rate) pre tieto úverové portfóliá. </w:t>
      </w:r>
      <w:r w:rsidR="007C4FC3" w:rsidRPr="0088338F">
        <w:rPr>
          <w:rFonts w:ascii="Arial" w:hAnsi="Arial" w:cs="Arial"/>
          <w:sz w:val="20"/>
          <w:szCs w:val="20"/>
        </w:rPr>
        <w:t>B</w:t>
      </w:r>
      <w:r w:rsidRPr="0088338F">
        <w:rPr>
          <w:rFonts w:ascii="Arial" w:hAnsi="Arial" w:cs="Arial"/>
          <w:sz w:val="20"/>
          <w:szCs w:val="20"/>
        </w:rPr>
        <w:t xml:space="preserve">anka </w:t>
      </w:r>
      <w:r w:rsidR="007C4FC3" w:rsidRPr="0088338F">
        <w:rPr>
          <w:rFonts w:ascii="Arial" w:hAnsi="Arial" w:cs="Arial"/>
          <w:sz w:val="20"/>
          <w:szCs w:val="20"/>
        </w:rPr>
        <w:t xml:space="preserve">má vytvorený model </w:t>
      </w:r>
      <w:r w:rsidRPr="0088338F">
        <w:rPr>
          <w:rFonts w:ascii="Arial" w:hAnsi="Arial" w:cs="Arial"/>
          <w:sz w:val="20"/>
          <w:szCs w:val="20"/>
        </w:rPr>
        <w:t xml:space="preserve">pre výpočet tvorby opravných položiek pre úverové portfólia. Hodnota týchto opravných položiek sa definuje ako percento z celkovej hodnoty daného portfólia a je závislé od pravdepodobnosti zlyhania úveru (probability of default) a straty zo zlyhaného úveru (loss given default). Vstupným súborom dát pre model sú pravidelné mesačné výkazy reportované Národnou bankou Slovenska o stave úverov v bankovom sektore za predchádzajúce obdobia a report o úverovom portfóliu banky k ultimu roka. Vypočítané percentuálne hodnoty boli nižšie ako doposiaľ platná výška tvorby portfóliových opravných položiek. Na základe tejto skutočnosti a v súlade s konzervatívnym prístupom banky boli ponechané aktuálne platné hodnoty opravných </w:t>
      </w:r>
      <w:r w:rsidR="004E1719" w:rsidRPr="0088338F">
        <w:rPr>
          <w:rFonts w:ascii="Arial" w:hAnsi="Arial" w:cs="Arial"/>
          <w:sz w:val="20"/>
          <w:szCs w:val="20"/>
        </w:rPr>
        <w:t>položiek. Vzniknutá</w:t>
      </w:r>
      <w:r w:rsidRPr="0088338F">
        <w:rPr>
          <w:rFonts w:ascii="Arial" w:hAnsi="Arial" w:cs="Arial"/>
          <w:sz w:val="20"/>
          <w:szCs w:val="20"/>
        </w:rPr>
        <w:t>, ale neidentifikovaná strata tak predstavuje 3,5 % (201</w:t>
      </w:r>
      <w:r w:rsidR="007C4FC3" w:rsidRPr="0088338F">
        <w:rPr>
          <w:rFonts w:ascii="Arial" w:hAnsi="Arial" w:cs="Arial"/>
          <w:sz w:val="20"/>
          <w:szCs w:val="20"/>
        </w:rPr>
        <w:t>5</w:t>
      </w:r>
      <w:r w:rsidRPr="0088338F">
        <w:rPr>
          <w:rFonts w:ascii="Arial" w:hAnsi="Arial" w:cs="Arial"/>
          <w:sz w:val="20"/>
          <w:szCs w:val="20"/>
        </w:rPr>
        <w:t>: 3,5 %) z celkového objemu úverov zahrnutých v portfóliu úverov na projektové financovanie v oblasti nehnuteľností a 2,5 % (201</w:t>
      </w:r>
      <w:r w:rsidR="007C4FC3" w:rsidRPr="0088338F">
        <w:rPr>
          <w:rFonts w:ascii="Arial" w:hAnsi="Arial" w:cs="Arial"/>
          <w:sz w:val="20"/>
          <w:szCs w:val="20"/>
        </w:rPr>
        <w:t>5</w:t>
      </w:r>
      <w:r w:rsidRPr="0088338F">
        <w:rPr>
          <w:rFonts w:ascii="Arial" w:hAnsi="Arial" w:cs="Arial"/>
          <w:sz w:val="20"/>
          <w:szCs w:val="20"/>
        </w:rPr>
        <w:t>: 2,5 %) z celkového objemu úverov zahrnutých v portfóliu úverov pre klientov zaoberajúcich sa činnosťami spojenými s prevádzkou, resp. prenájmom nehnuteľností (pozri aj pozn. 6 a 7). K portfóliu úverov poskytnutých na financovanie nových investičných zámerov banka vytvorila opravnú položku vo výške 2,0 % (201</w:t>
      </w:r>
      <w:r w:rsidR="007C4FC3" w:rsidRPr="0088338F">
        <w:rPr>
          <w:rFonts w:ascii="Arial" w:hAnsi="Arial" w:cs="Arial"/>
          <w:sz w:val="20"/>
          <w:szCs w:val="20"/>
        </w:rPr>
        <w:t>5</w:t>
      </w:r>
      <w:r w:rsidRPr="0088338F">
        <w:rPr>
          <w:rFonts w:ascii="Arial" w:hAnsi="Arial" w:cs="Arial"/>
          <w:sz w:val="20"/>
          <w:szCs w:val="20"/>
        </w:rPr>
        <w:t>: 2,0 %) z objemu úverov. Banka na základe posúdenia vývoja úverov poskytnutých na financovanie fotovoltaických elektrární, úverov zabezpečených nehnuteľnosťou určenou na bývanie a</w:t>
      </w:r>
      <w:r w:rsidR="007C4FC3" w:rsidRPr="0088338F">
        <w:rPr>
          <w:rFonts w:ascii="Arial" w:hAnsi="Arial" w:cs="Arial"/>
          <w:sz w:val="20"/>
          <w:szCs w:val="20"/>
        </w:rPr>
        <w:t xml:space="preserve"> úverov </w:t>
      </w:r>
      <w:r w:rsidRPr="0088338F">
        <w:rPr>
          <w:rFonts w:ascii="Arial" w:hAnsi="Arial" w:cs="Arial"/>
          <w:sz w:val="20"/>
          <w:szCs w:val="20"/>
        </w:rPr>
        <w:t xml:space="preserve">kolateralizovaných </w:t>
      </w:r>
      <w:r w:rsidR="007C4FC3" w:rsidRPr="0088338F">
        <w:rPr>
          <w:rFonts w:ascii="Arial" w:hAnsi="Arial" w:cs="Arial"/>
          <w:sz w:val="20"/>
          <w:szCs w:val="20"/>
        </w:rPr>
        <w:t>majetkom klientov v správe banky</w:t>
      </w:r>
      <w:r w:rsidRPr="0088338F">
        <w:rPr>
          <w:rFonts w:ascii="Arial" w:hAnsi="Arial" w:cs="Arial"/>
          <w:sz w:val="20"/>
          <w:szCs w:val="20"/>
        </w:rPr>
        <w:t xml:space="preserve"> dospela k záveru, že v súčasnosti nie je potrebné tvoriť skupinové opravné položky k týmto portfóliám. Predpokladá sa, že podľa toho, ako sa budú vyvíjať udalosti a neistoty v budúcnosti, bude vedenie schopné upraviť odhady týkajúce sa vzniknutých strát, čo bude mať za následok úpravy opravných položiek v budúcnosti.</w:t>
      </w:r>
      <w:r w:rsidR="000715D9" w:rsidRPr="0088338F">
        <w:rPr>
          <w:rFonts w:ascii="Arial" w:hAnsi="Arial" w:cs="Arial"/>
          <w:sz w:val="20"/>
          <w:szCs w:val="20"/>
        </w:rPr>
        <w:t xml:space="preserve"> </w:t>
      </w:r>
    </w:p>
    <w:p w14:paraId="619D5475" w14:textId="77777777" w:rsidR="008544EC" w:rsidRPr="0088338F" w:rsidRDefault="008544EC" w:rsidP="004D525D">
      <w:pPr>
        <w:tabs>
          <w:tab w:val="left" w:pos="0"/>
          <w:tab w:val="right" w:pos="4820"/>
          <w:tab w:val="right" w:pos="6521"/>
          <w:tab w:val="right" w:pos="8222"/>
        </w:tabs>
        <w:jc w:val="both"/>
        <w:rPr>
          <w:rFonts w:ascii="Arial" w:hAnsi="Arial" w:cs="Arial"/>
          <w:sz w:val="20"/>
          <w:szCs w:val="20"/>
        </w:rPr>
      </w:pPr>
    </w:p>
    <w:p w14:paraId="56D3E77F" w14:textId="59B87AF5" w:rsidR="000715D9" w:rsidRPr="0088338F" w:rsidRDefault="000715D9" w:rsidP="000715D9">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Tvorba opravných položiek na vzniknuté straty z úverov a identifikované budúce možné záväzky zahŕňa neistoty, vyplývajúce z uvedených rizík, a od vedenia banky vyžaduje subjektívny úsudok pri odhade výšky strát. Existujú významné neistoty spojené predovšetkým s konečnou realizáciou  projektov na  nehnuteľnosti, ktorá je mimo kontroly vedenia banky. </w:t>
      </w:r>
    </w:p>
    <w:p w14:paraId="1A64DDC3" w14:textId="77777777" w:rsidR="00F04D78" w:rsidRPr="0088338F" w:rsidRDefault="00F04D78" w:rsidP="00F04D78">
      <w:pPr>
        <w:tabs>
          <w:tab w:val="left" w:pos="0"/>
          <w:tab w:val="right" w:pos="4820"/>
          <w:tab w:val="right" w:pos="6521"/>
          <w:tab w:val="right" w:pos="8222"/>
        </w:tabs>
        <w:jc w:val="both"/>
        <w:rPr>
          <w:rFonts w:cs="Arial"/>
          <w:sz w:val="22"/>
        </w:rPr>
      </w:pPr>
    </w:p>
    <w:p w14:paraId="2A9C4786" w14:textId="77777777" w:rsidR="00A5134A" w:rsidRPr="0088338F" w:rsidRDefault="00F04D78" w:rsidP="00F04D78">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Konečný výsledok sa môže od týchto odhadov líšiť a budúce zmeny ekonomickej situácie a ostatných faktorov vplývajúcich na trhy s</w:t>
      </w:r>
      <w:r w:rsidR="0002253E" w:rsidRPr="0088338F">
        <w:rPr>
          <w:rFonts w:ascii="Arial" w:hAnsi="Arial" w:cs="Arial"/>
          <w:sz w:val="20"/>
          <w:szCs w:val="20"/>
        </w:rPr>
        <w:t> </w:t>
      </w:r>
      <w:r w:rsidRPr="0088338F">
        <w:rPr>
          <w:rFonts w:ascii="Arial" w:hAnsi="Arial" w:cs="Arial"/>
          <w:sz w:val="20"/>
          <w:szCs w:val="20"/>
        </w:rPr>
        <w:t>nehnuteľnosťami</w:t>
      </w:r>
      <w:r w:rsidR="0002253E" w:rsidRPr="0088338F">
        <w:rPr>
          <w:rFonts w:ascii="Arial" w:hAnsi="Arial" w:cs="Arial"/>
          <w:sz w:val="20"/>
          <w:szCs w:val="20"/>
        </w:rPr>
        <w:t xml:space="preserve"> a vývoj projektov nových investičných zámerov,</w:t>
      </w:r>
      <w:r w:rsidRPr="0088338F">
        <w:rPr>
          <w:rFonts w:ascii="Arial" w:hAnsi="Arial" w:cs="Arial"/>
          <w:sz w:val="20"/>
          <w:szCs w:val="20"/>
        </w:rPr>
        <w:t xml:space="preserve"> by následne mohli viesť k zmene odhadov, ktoré môžu mať významný vplyv na výšku opravných položiek na straty z úverov</w:t>
      </w:r>
      <w:r w:rsidR="00A5134A" w:rsidRPr="0088338F">
        <w:rPr>
          <w:rFonts w:ascii="Arial" w:hAnsi="Arial" w:cs="Arial"/>
          <w:sz w:val="20"/>
          <w:szCs w:val="20"/>
        </w:rPr>
        <w:t>.</w:t>
      </w:r>
    </w:p>
    <w:p w14:paraId="01B4A76E" w14:textId="77777777" w:rsidR="000236BA" w:rsidRPr="0088338F" w:rsidRDefault="000236BA" w:rsidP="00A17B0F">
      <w:pPr>
        <w:tabs>
          <w:tab w:val="left" w:pos="0"/>
          <w:tab w:val="right" w:pos="4820"/>
          <w:tab w:val="right" w:pos="6521"/>
          <w:tab w:val="right" w:pos="8222"/>
        </w:tabs>
        <w:jc w:val="both"/>
        <w:rPr>
          <w:rFonts w:ascii="Arial" w:hAnsi="Arial" w:cs="Arial"/>
          <w:b/>
          <w:sz w:val="20"/>
          <w:szCs w:val="20"/>
        </w:rPr>
      </w:pPr>
    </w:p>
    <w:p w14:paraId="4870B6AC" w14:textId="0A87D02D"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(ii) Finančné investície držané do splatnosti</w:t>
      </w:r>
    </w:p>
    <w:p w14:paraId="271CB9E8" w14:textId="77777777" w:rsidR="00E13884" w:rsidRPr="0088338F" w:rsidRDefault="00A17B0F" w:rsidP="00E13884">
      <w:pPr>
        <w:pStyle w:val="StylebodyEYGothicCondDemi"/>
        <w:spacing w:after="0"/>
        <w:jc w:val="both"/>
        <w:rPr>
          <w:rFonts w:ascii="Arial" w:hAnsi="Arial" w:cs="Arial"/>
          <w:color w:val="auto"/>
          <w:lang w:val="sk-SK"/>
        </w:rPr>
      </w:pPr>
      <w:r w:rsidRPr="0088338F">
        <w:rPr>
          <w:rFonts w:ascii="Arial" w:hAnsi="Arial" w:cs="Arial"/>
          <w:color w:val="auto"/>
          <w:lang w:val="sk-SK"/>
        </w:rPr>
        <w:t xml:space="preserve">Pri investíciách držaných do splatnosti </w:t>
      </w:r>
      <w:r w:rsidR="005A01BC" w:rsidRPr="0088338F">
        <w:rPr>
          <w:rFonts w:ascii="Arial" w:hAnsi="Arial" w:cs="Arial"/>
          <w:color w:val="auto"/>
          <w:lang w:val="sk-SK"/>
        </w:rPr>
        <w:t xml:space="preserve">banka </w:t>
      </w:r>
      <w:r w:rsidRPr="0088338F">
        <w:rPr>
          <w:rFonts w:ascii="Arial" w:hAnsi="Arial" w:cs="Arial"/>
          <w:color w:val="auto"/>
          <w:lang w:val="sk-SK"/>
        </w:rPr>
        <w:t>samostatne posudzuje, či existuje objektívny dôkaz o znížení hodnoty. Ak existuje objektívny dôkaz o vzniku straty zo zníženia hodnoty, výška straty sa vyčísli ako rozdiel medzi účtovnou hodnotou majetku a súčasnou hodnotou očakávaných budúcich peňažných tokov. Účtovná hodnota majetku sa zníži a výška straty sa vykáže vo výkaze ziskov a strát.</w:t>
      </w:r>
    </w:p>
    <w:p w14:paraId="1414AF75" w14:textId="77777777" w:rsidR="00A17B0F" w:rsidRPr="0088338F" w:rsidRDefault="00A17B0F" w:rsidP="00E13884">
      <w:pPr>
        <w:pStyle w:val="StylebodyEYGothicCondDemi"/>
        <w:spacing w:after="0"/>
        <w:jc w:val="both"/>
        <w:rPr>
          <w:rFonts w:ascii="Arial" w:hAnsi="Arial" w:cs="Arial"/>
          <w:color w:val="auto"/>
          <w:lang w:val="sk-SK"/>
        </w:rPr>
      </w:pPr>
    </w:p>
    <w:p w14:paraId="789BDB7D" w14:textId="77777777" w:rsidR="00A17B0F" w:rsidRPr="0088338F" w:rsidRDefault="00A17B0F" w:rsidP="00E13884">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Ak v ďalšom roku výška predpokladanej straty zo zníženia hodnoty klesne z dôvodu udalosti, ktorá nastane po vykázaní príslušného zníženia hodnoty, akékoľvek predtým vykázané sumy v nákladoch sa zaúčtujú v prospech položky „Straty zo zníženia hodnoty finančných investícií“.</w:t>
      </w:r>
    </w:p>
    <w:p w14:paraId="0E404F43"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p>
    <w:p w14:paraId="542D72C3"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(iii) Finančné investície určené na predaj</w:t>
      </w:r>
    </w:p>
    <w:p w14:paraId="6E98903C" w14:textId="77777777" w:rsidR="00A17B0F" w:rsidRPr="0088338F" w:rsidRDefault="00A17B0F" w:rsidP="00F56BE8">
      <w:pPr>
        <w:pStyle w:val="StylebodyEYGothicCondDemi"/>
        <w:spacing w:after="0" w:line="240" w:lineRule="auto"/>
        <w:jc w:val="both"/>
        <w:rPr>
          <w:rFonts w:ascii="Arial" w:hAnsi="Arial" w:cs="Arial"/>
          <w:color w:val="auto"/>
          <w:lang w:val="sk-SK"/>
        </w:rPr>
      </w:pPr>
      <w:r w:rsidRPr="0088338F">
        <w:rPr>
          <w:rFonts w:ascii="Arial" w:hAnsi="Arial" w:cs="Arial"/>
          <w:color w:val="auto"/>
          <w:lang w:val="sk-SK"/>
        </w:rPr>
        <w:t xml:space="preserve">Pri finančných investíciách určených na predaj </w:t>
      </w:r>
      <w:r w:rsidR="00576514" w:rsidRPr="0088338F">
        <w:rPr>
          <w:rFonts w:ascii="Arial" w:hAnsi="Arial" w:cs="Arial"/>
          <w:color w:val="auto"/>
          <w:lang w:val="sk-SK"/>
        </w:rPr>
        <w:t xml:space="preserve">banka </w:t>
      </w:r>
      <w:r w:rsidRPr="0088338F">
        <w:rPr>
          <w:rFonts w:ascii="Arial" w:hAnsi="Arial" w:cs="Arial"/>
          <w:color w:val="auto"/>
          <w:lang w:val="sk-SK"/>
        </w:rPr>
        <w:t xml:space="preserve">ku dňu zostavenia účtovnej závierky posudzuje, či existuje objektívny dôkaz o znížení hodnoty investície alebo skupiny investícií. </w:t>
      </w:r>
    </w:p>
    <w:p w14:paraId="6DE22F20" w14:textId="77777777" w:rsidR="00CB6E6A" w:rsidRPr="0088338F" w:rsidRDefault="00CB6E6A" w:rsidP="00F56BE8">
      <w:pPr>
        <w:tabs>
          <w:tab w:val="left" w:pos="0"/>
          <w:tab w:val="right" w:pos="4820"/>
          <w:tab w:val="right" w:pos="6521"/>
          <w:tab w:val="right" w:pos="8222"/>
        </w:tabs>
        <w:jc w:val="both"/>
        <w:rPr>
          <w:rFonts w:ascii="Arial" w:hAnsi="Arial" w:cs="Arial"/>
          <w:sz w:val="20"/>
          <w:szCs w:val="20"/>
        </w:rPr>
      </w:pPr>
    </w:p>
    <w:p w14:paraId="1936DD08" w14:textId="77777777" w:rsidR="00A17B0F" w:rsidRPr="0088338F" w:rsidRDefault="00A17B0F" w:rsidP="00F56BE8">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V prípade majetkových účastí klasifikovaných ako k dispozícii na predaj patrí </w:t>
      </w:r>
      <w:r w:rsidR="00327BC3" w:rsidRPr="0088338F">
        <w:rPr>
          <w:rFonts w:ascii="Arial" w:hAnsi="Arial" w:cs="Arial"/>
          <w:sz w:val="20"/>
          <w:szCs w:val="20"/>
        </w:rPr>
        <w:t xml:space="preserve">medzi objektívne dôkazy </w:t>
      </w:r>
      <w:r w:rsidRPr="0088338F">
        <w:rPr>
          <w:rFonts w:ascii="Arial" w:hAnsi="Arial" w:cs="Arial"/>
          <w:sz w:val="20"/>
          <w:szCs w:val="20"/>
        </w:rPr>
        <w:t>významný alebo dlhotrvajúci pokles reálnej hodnoty investície pod úroveň obstarávacej ceny tejto investície. V prípade existencie dôkazu o znížení hodnoty sa kumulatívna strata – vyčíslená ako rozdiel medzi obstarávacou cenou a súčasnou reálnou hodnotou, po zohľadnení akejkoľvek straty zo zníženia hodnoty pri tejto investícii, predtým vykázanej vo výkaze ziskov a strát – odúčtuje z vlastného imania a vykáže vo výkaze ziskov a strát. Opravné položky k majetkovým účastinám sa nerozpúšťajú cez výkaz ziskov a strát; nárast ich reálnej hodnoty po predchádz</w:t>
      </w:r>
      <w:r w:rsidR="00F04D78" w:rsidRPr="0088338F">
        <w:rPr>
          <w:rFonts w:ascii="Arial" w:hAnsi="Arial" w:cs="Arial"/>
          <w:sz w:val="20"/>
          <w:szCs w:val="20"/>
        </w:rPr>
        <w:t>a</w:t>
      </w:r>
      <w:r w:rsidRPr="0088338F">
        <w:rPr>
          <w:rFonts w:ascii="Arial" w:hAnsi="Arial" w:cs="Arial"/>
          <w:sz w:val="20"/>
          <w:szCs w:val="20"/>
        </w:rPr>
        <w:t>júcom znížení hodnoty sa vykáže priamo vo vlastnom imaní.</w:t>
      </w:r>
    </w:p>
    <w:p w14:paraId="68CA3FDD"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p>
    <w:p w14:paraId="2B422D92" w14:textId="77777777" w:rsidR="008E6838" w:rsidRPr="0088338F" w:rsidRDefault="008E6838">
      <w:pPr>
        <w:rPr>
          <w:rFonts w:ascii="Arial" w:hAnsi="Arial" w:cs="Arial"/>
          <w:sz w:val="20"/>
          <w:szCs w:val="20"/>
        </w:rPr>
      </w:pPr>
      <w:r w:rsidRPr="0088338F">
        <w:rPr>
          <w:rFonts w:ascii="Arial" w:hAnsi="Arial" w:cs="Arial"/>
          <w:sz w:val="20"/>
          <w:szCs w:val="20"/>
        </w:rPr>
        <w:br w:type="page"/>
      </w:r>
    </w:p>
    <w:p w14:paraId="3200F7D3" w14:textId="2FCB748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lastRenderedPageBreak/>
        <w:t xml:space="preserve">V prípade dlhových nástrojov klasifikovaných ako k dispozícii na predaj sa zníženie hodnoty posudzuje na základe tých istých kritérií ako v prípade finančného majetku vykázaného v amortizovanej hodnote. Časové rozlíšenie úrokov sa naďalej účtuje pomocou pôvodnej efektívnej úrokovej miery  a vykazuje ako súčasť položky „Úrokové výnosy a </w:t>
      </w:r>
      <w:r w:rsidR="0025243C" w:rsidRPr="0088338F">
        <w:rPr>
          <w:rFonts w:ascii="Arial" w:hAnsi="Arial" w:cs="Arial"/>
          <w:sz w:val="20"/>
          <w:szCs w:val="20"/>
        </w:rPr>
        <w:t xml:space="preserve">obdobné </w:t>
      </w:r>
      <w:r w:rsidRPr="0088338F">
        <w:rPr>
          <w:rFonts w:ascii="Arial" w:hAnsi="Arial" w:cs="Arial"/>
          <w:sz w:val="20"/>
          <w:szCs w:val="20"/>
        </w:rPr>
        <w:t>výnosy“. Ak sa v ďalšom roku reálna hodnota dlhového nástroja zvýši a toto zvýšenie možno objektívne prisúdiť udalosti, ktorá nastala po vykázaní zníženia hodnoty vo výkaze ziskov a strát, opravná položka k týmto finančným aktívam sa rozpustí cez výkaz ziskov a strát.</w:t>
      </w:r>
    </w:p>
    <w:p w14:paraId="6A301AC3" w14:textId="77777777" w:rsidR="00797717" w:rsidRPr="0088338F" w:rsidRDefault="00797717" w:rsidP="00A17B0F">
      <w:pPr>
        <w:tabs>
          <w:tab w:val="left" w:pos="0"/>
          <w:tab w:val="right" w:pos="4820"/>
          <w:tab w:val="right" w:pos="6521"/>
          <w:tab w:val="right" w:pos="8222"/>
        </w:tabs>
        <w:jc w:val="both"/>
        <w:rPr>
          <w:rFonts w:ascii="Arial" w:hAnsi="Arial" w:cs="Arial"/>
          <w:b/>
          <w:sz w:val="16"/>
          <w:szCs w:val="16"/>
        </w:rPr>
      </w:pPr>
    </w:p>
    <w:p w14:paraId="527FA51F"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(iv) Reštrukturalizované úvery</w:t>
      </w:r>
    </w:p>
    <w:p w14:paraId="56A04074" w14:textId="33345293" w:rsidR="002F5167" w:rsidRPr="0088338F" w:rsidRDefault="002F5167" w:rsidP="002F5167">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Banka uprednostňuje reštrukturalizáciu úverov, pred realizáciou zábezpeky ak si takýmto postupom zabezpečí zlepšenie alebo posilnenie svojej pozície veriteľa. Reštrukturalizácia môže zahŕňať predĺženie platobných termínov a dohodu o nových úverových podmienkach. Po opätovnom prerokovaní príslušných vzťahov a podmienok sa daný úver už nepovažuje za aktívum po lehote splatnosti. Vedenie banky neustále posudzuje reštrukturalizované úvery s cieľom zabezpečiť, že všetky kritériá sú splnené a všetky budúce platby sa pravdepodobne uhradia. Úvery naďalej podliehajú individuálnemu alebo kolektívnemu posúdeniu zníženia hodnoty, ktorá je vyjadrená výškou  opravnej položky, ktorá sa vypočíta ako rozdiel medzi nominálnou hodnotou pohľadávky a súčasnou hodnotou všetkých očakávaných peňažných tokov diskontovaných efektívnou úrokovou mierou.</w:t>
      </w:r>
      <w:r w:rsidRPr="0088338F" w:rsidDel="00CC5D97">
        <w:rPr>
          <w:rFonts w:ascii="Arial" w:hAnsi="Arial" w:cs="Arial"/>
          <w:sz w:val="20"/>
          <w:szCs w:val="20"/>
        </w:rPr>
        <w:t xml:space="preserve"> </w:t>
      </w:r>
    </w:p>
    <w:p w14:paraId="29D06ACC" w14:textId="77777777" w:rsidR="006E610F" w:rsidRDefault="006E610F" w:rsidP="00A17B0F">
      <w:pPr>
        <w:tabs>
          <w:tab w:val="left" w:pos="0"/>
          <w:tab w:val="right" w:pos="4820"/>
          <w:tab w:val="right" w:pos="6521"/>
          <w:tab w:val="right" w:pos="8222"/>
        </w:tabs>
        <w:jc w:val="both"/>
        <w:rPr>
          <w:rFonts w:ascii="Arial" w:hAnsi="Arial" w:cs="Arial"/>
          <w:sz w:val="16"/>
          <w:szCs w:val="16"/>
        </w:rPr>
      </w:pPr>
    </w:p>
    <w:p w14:paraId="4A7363F4" w14:textId="77777777" w:rsidR="00D31134" w:rsidRPr="0088338F" w:rsidRDefault="00D31134" w:rsidP="00A17B0F">
      <w:pPr>
        <w:tabs>
          <w:tab w:val="left" w:pos="0"/>
          <w:tab w:val="right" w:pos="4820"/>
          <w:tab w:val="right" w:pos="6521"/>
          <w:tab w:val="right" w:pos="8222"/>
        </w:tabs>
        <w:jc w:val="both"/>
        <w:rPr>
          <w:rFonts w:ascii="Arial" w:hAnsi="Arial" w:cs="Arial"/>
          <w:sz w:val="16"/>
          <w:szCs w:val="16"/>
        </w:rPr>
      </w:pPr>
    </w:p>
    <w:p w14:paraId="3B9DE987" w14:textId="77777777" w:rsidR="00A5134A" w:rsidRPr="0088338F" w:rsidRDefault="00A5134A" w:rsidP="00A5134A">
      <w:pPr>
        <w:tabs>
          <w:tab w:val="left" w:pos="1134"/>
          <w:tab w:val="right" w:pos="4820"/>
          <w:tab w:val="right" w:pos="6521"/>
          <w:tab w:val="right" w:pos="8222"/>
        </w:tabs>
        <w:jc w:val="both"/>
        <w:rPr>
          <w:rFonts w:ascii="Arial" w:hAnsi="Arial" w:cs="Arial"/>
          <w:b/>
          <w:sz w:val="20"/>
          <w:szCs w:val="20"/>
        </w:rPr>
      </w:pPr>
      <w:r w:rsidRPr="0088338F">
        <w:rPr>
          <w:rFonts w:ascii="Arial" w:hAnsi="Arial" w:cs="Arial"/>
          <w:b/>
          <w:sz w:val="20"/>
          <w:szCs w:val="20"/>
        </w:rPr>
        <w:t>(</w:t>
      </w:r>
      <w:r w:rsidR="004458D0" w:rsidRPr="0088338F">
        <w:rPr>
          <w:rFonts w:ascii="Arial" w:hAnsi="Arial" w:cs="Arial"/>
          <w:b/>
          <w:sz w:val="20"/>
          <w:szCs w:val="20"/>
        </w:rPr>
        <w:t>9</w:t>
      </w:r>
      <w:r w:rsidRPr="0088338F">
        <w:rPr>
          <w:rFonts w:ascii="Arial" w:hAnsi="Arial" w:cs="Arial"/>
          <w:b/>
          <w:sz w:val="20"/>
          <w:szCs w:val="20"/>
        </w:rPr>
        <w:t>) Časové rozlíšenie úrokov</w:t>
      </w:r>
    </w:p>
    <w:p w14:paraId="3414BC95" w14:textId="77777777" w:rsidR="00A5134A" w:rsidRPr="0088338F" w:rsidRDefault="00A5134A" w:rsidP="00A5134A">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Časovo rozlíšené úrokové výnosy a náklady vzťahujúce sa na finančné aktíva a finančné záväzky sa vykazujú k dátumu zostavenia účtovnej závierky spoločne s aktívami alebo záväzkami uvedenými v</w:t>
      </w:r>
      <w:r w:rsidR="00452EFC" w:rsidRPr="0088338F">
        <w:rPr>
          <w:rFonts w:ascii="Arial" w:hAnsi="Arial" w:cs="Arial"/>
          <w:sz w:val="20"/>
          <w:szCs w:val="20"/>
        </w:rPr>
        <w:t>o</w:t>
      </w:r>
      <w:r w:rsidRPr="0088338F">
        <w:rPr>
          <w:rFonts w:ascii="Arial" w:hAnsi="Arial" w:cs="Arial"/>
          <w:sz w:val="20"/>
          <w:szCs w:val="20"/>
        </w:rPr>
        <w:t> </w:t>
      </w:r>
      <w:r w:rsidR="00452EFC" w:rsidRPr="0088338F">
        <w:rPr>
          <w:rFonts w:ascii="Arial" w:hAnsi="Arial" w:cs="Arial"/>
          <w:sz w:val="20"/>
          <w:szCs w:val="20"/>
        </w:rPr>
        <w:t>výkaze o finančnej situácii</w:t>
      </w:r>
      <w:r w:rsidRPr="0088338F">
        <w:rPr>
          <w:rFonts w:ascii="Arial" w:hAnsi="Arial" w:cs="Arial"/>
          <w:sz w:val="20"/>
          <w:szCs w:val="20"/>
        </w:rPr>
        <w:t>.</w:t>
      </w:r>
    </w:p>
    <w:p w14:paraId="0CA52ACA" w14:textId="6BBE0955" w:rsidR="000236BA" w:rsidRDefault="000236BA">
      <w:pPr>
        <w:rPr>
          <w:rFonts w:ascii="Arial" w:hAnsi="Arial" w:cs="Arial"/>
          <w:b/>
          <w:sz w:val="20"/>
          <w:szCs w:val="20"/>
        </w:rPr>
      </w:pPr>
    </w:p>
    <w:p w14:paraId="47CE6287" w14:textId="77777777" w:rsidR="00D31134" w:rsidRPr="0088338F" w:rsidRDefault="00D31134">
      <w:pPr>
        <w:rPr>
          <w:rFonts w:ascii="Arial" w:hAnsi="Arial" w:cs="Arial"/>
          <w:b/>
          <w:sz w:val="20"/>
          <w:szCs w:val="20"/>
        </w:rPr>
      </w:pPr>
    </w:p>
    <w:p w14:paraId="22DB3D63" w14:textId="1749FE15" w:rsidR="00A17B0F" w:rsidRPr="0088338F" w:rsidRDefault="00A17B0F" w:rsidP="00A17B0F">
      <w:pPr>
        <w:tabs>
          <w:tab w:val="left" w:pos="1134"/>
          <w:tab w:val="right" w:pos="4820"/>
          <w:tab w:val="right" w:pos="6521"/>
          <w:tab w:val="right" w:pos="8222"/>
        </w:tabs>
        <w:jc w:val="both"/>
        <w:rPr>
          <w:rFonts w:ascii="Arial" w:hAnsi="Arial" w:cs="Arial"/>
          <w:b/>
          <w:caps/>
          <w:sz w:val="20"/>
          <w:szCs w:val="20"/>
        </w:rPr>
      </w:pPr>
      <w:r w:rsidRPr="0088338F">
        <w:rPr>
          <w:rFonts w:ascii="Arial" w:hAnsi="Arial" w:cs="Arial"/>
          <w:b/>
          <w:sz w:val="20"/>
          <w:szCs w:val="20"/>
        </w:rPr>
        <w:t>(</w:t>
      </w:r>
      <w:r w:rsidR="004458D0" w:rsidRPr="0088338F">
        <w:rPr>
          <w:rFonts w:ascii="Arial" w:hAnsi="Arial" w:cs="Arial"/>
          <w:b/>
          <w:sz w:val="20"/>
          <w:szCs w:val="20"/>
        </w:rPr>
        <w:t>10</w:t>
      </w:r>
      <w:r w:rsidRPr="0088338F">
        <w:rPr>
          <w:rFonts w:ascii="Arial" w:hAnsi="Arial" w:cs="Arial"/>
          <w:b/>
          <w:sz w:val="20"/>
          <w:szCs w:val="20"/>
        </w:rPr>
        <w:t xml:space="preserve">) Hmotný a nehmotný majetok </w:t>
      </w:r>
    </w:p>
    <w:p w14:paraId="4FCEB450" w14:textId="77777777" w:rsidR="00A17B0F" w:rsidRPr="0088338F" w:rsidRDefault="00A17B0F" w:rsidP="00A17B0F">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Hmotný a nehmotný majetok</w:t>
      </w:r>
      <w:r w:rsidRPr="0088338F">
        <w:rPr>
          <w:rFonts w:ascii="Arial" w:hAnsi="Arial" w:cs="Arial"/>
          <w:b/>
          <w:sz w:val="20"/>
          <w:szCs w:val="20"/>
        </w:rPr>
        <w:t xml:space="preserve"> </w:t>
      </w:r>
      <w:r w:rsidRPr="0088338F">
        <w:rPr>
          <w:rFonts w:ascii="Arial" w:hAnsi="Arial" w:cs="Arial"/>
          <w:sz w:val="20"/>
          <w:szCs w:val="20"/>
        </w:rPr>
        <w:t>je vykazovaný v obstarávacej cene zníženej o oprávky a opravné položky zo zníženia hodnoty.</w:t>
      </w:r>
      <w:r w:rsidRPr="0088338F">
        <w:rPr>
          <w:rFonts w:ascii="Arial" w:hAnsi="Arial" w:cs="Arial"/>
          <w:b/>
          <w:sz w:val="20"/>
          <w:szCs w:val="20"/>
        </w:rPr>
        <w:t xml:space="preserve"> </w:t>
      </w:r>
      <w:r w:rsidRPr="0088338F">
        <w:rPr>
          <w:rFonts w:ascii="Arial" w:hAnsi="Arial" w:cs="Arial"/>
          <w:sz w:val="20"/>
          <w:szCs w:val="20"/>
        </w:rPr>
        <w:t>Hmotný a nehmotný majetok</w:t>
      </w:r>
      <w:r w:rsidRPr="0088338F">
        <w:rPr>
          <w:rFonts w:ascii="Arial" w:hAnsi="Arial" w:cs="Arial"/>
          <w:b/>
          <w:sz w:val="20"/>
          <w:szCs w:val="20"/>
        </w:rPr>
        <w:t xml:space="preserve"> </w:t>
      </w:r>
      <w:r w:rsidRPr="0088338F">
        <w:rPr>
          <w:rFonts w:ascii="Arial" w:hAnsi="Arial" w:cs="Arial"/>
          <w:sz w:val="20"/>
          <w:szCs w:val="20"/>
        </w:rPr>
        <w:t xml:space="preserve">sa odpisuje rovnomerne počas očakávanej zostatkovej životnosti nasledovne: </w:t>
      </w:r>
    </w:p>
    <w:p w14:paraId="47E8477D" w14:textId="77777777" w:rsidR="00A17B0F" w:rsidRPr="0088338F" w:rsidRDefault="00A17B0F" w:rsidP="00A17B0F">
      <w:pPr>
        <w:tabs>
          <w:tab w:val="left" w:pos="1134"/>
          <w:tab w:val="right" w:pos="4820"/>
          <w:tab w:val="right" w:pos="6521"/>
          <w:tab w:val="right" w:pos="8222"/>
        </w:tabs>
        <w:jc w:val="both"/>
        <w:rPr>
          <w:rFonts w:ascii="Arial" w:hAnsi="Arial" w:cs="Arial"/>
          <w:sz w:val="16"/>
          <w:szCs w:val="16"/>
        </w:rPr>
      </w:pPr>
    </w:p>
    <w:tbl>
      <w:tblPr>
        <w:tblW w:w="0" w:type="auto"/>
        <w:tblInd w:w="468" w:type="dxa"/>
        <w:tblLayout w:type="fixed"/>
        <w:tblLook w:val="0000" w:firstRow="0" w:lastRow="0" w:firstColumn="0" w:lastColumn="0" w:noHBand="0" w:noVBand="0"/>
      </w:tblPr>
      <w:tblGrid>
        <w:gridCol w:w="4050"/>
        <w:gridCol w:w="2536"/>
      </w:tblGrid>
      <w:tr w:rsidR="00A17B0F" w:rsidRPr="0088338F" w14:paraId="36347C2D" w14:textId="77777777">
        <w:trPr>
          <w:cantSplit/>
        </w:trPr>
        <w:tc>
          <w:tcPr>
            <w:tcW w:w="4050" w:type="dxa"/>
          </w:tcPr>
          <w:p w14:paraId="350B6BDD"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Budovy a stavby</w:t>
            </w:r>
          </w:p>
        </w:tc>
        <w:tc>
          <w:tcPr>
            <w:tcW w:w="2536" w:type="dxa"/>
          </w:tcPr>
          <w:p w14:paraId="1235D4E1"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20 až 40 rokov, </w:t>
            </w:r>
            <w:r w:rsidR="00F125DE" w:rsidRPr="0088338F">
              <w:rPr>
                <w:rFonts w:ascii="Arial" w:hAnsi="Arial" w:cs="Arial"/>
                <w:sz w:val="20"/>
                <w:szCs w:val="20"/>
              </w:rPr>
              <w:t>lineárne</w:t>
            </w:r>
          </w:p>
        </w:tc>
      </w:tr>
      <w:tr w:rsidR="00A17B0F" w:rsidRPr="0088338F" w14:paraId="54FD92C1" w14:textId="77777777">
        <w:trPr>
          <w:cantSplit/>
        </w:trPr>
        <w:tc>
          <w:tcPr>
            <w:tcW w:w="4050" w:type="dxa"/>
          </w:tcPr>
          <w:p w14:paraId="168CAC48" w14:textId="77777777" w:rsidR="00A17B0F" w:rsidRPr="0088338F" w:rsidRDefault="00A17B0F" w:rsidP="003A04D4">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Soft</w:t>
            </w:r>
            <w:r w:rsidR="003A04D4" w:rsidRPr="0088338F">
              <w:rPr>
                <w:rFonts w:ascii="Arial" w:hAnsi="Arial" w:cs="Arial"/>
                <w:sz w:val="20"/>
                <w:szCs w:val="20"/>
              </w:rPr>
              <w:t>vér</w:t>
            </w:r>
          </w:p>
        </w:tc>
        <w:tc>
          <w:tcPr>
            <w:tcW w:w="2536" w:type="dxa"/>
          </w:tcPr>
          <w:p w14:paraId="2DBA0925" w14:textId="77777777" w:rsidR="00A17B0F" w:rsidRPr="0088338F" w:rsidRDefault="00A27C5D"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do 5 rokov</w:t>
            </w:r>
            <w:r w:rsidR="00A17B0F" w:rsidRPr="0088338F">
              <w:rPr>
                <w:rFonts w:ascii="Arial" w:hAnsi="Arial" w:cs="Arial"/>
                <w:sz w:val="20"/>
                <w:szCs w:val="20"/>
              </w:rPr>
              <w:t xml:space="preserve">, </w:t>
            </w:r>
            <w:r w:rsidR="00F125DE" w:rsidRPr="0088338F">
              <w:rPr>
                <w:rFonts w:ascii="Arial" w:hAnsi="Arial" w:cs="Arial"/>
                <w:sz w:val="20"/>
                <w:szCs w:val="20"/>
              </w:rPr>
              <w:t>lineárne</w:t>
            </w:r>
          </w:p>
        </w:tc>
      </w:tr>
      <w:tr w:rsidR="00A17B0F" w:rsidRPr="0088338F" w14:paraId="59E76F56" w14:textId="77777777">
        <w:trPr>
          <w:cantSplit/>
        </w:trPr>
        <w:tc>
          <w:tcPr>
            <w:tcW w:w="4050" w:type="dxa"/>
          </w:tcPr>
          <w:p w14:paraId="1EF3C670"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Ostatný majetok</w:t>
            </w:r>
          </w:p>
        </w:tc>
        <w:tc>
          <w:tcPr>
            <w:tcW w:w="2536" w:type="dxa"/>
          </w:tcPr>
          <w:p w14:paraId="091085BE"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4 až 1</w:t>
            </w:r>
            <w:r w:rsidR="001062FF" w:rsidRPr="0088338F">
              <w:rPr>
                <w:rFonts w:ascii="Arial" w:hAnsi="Arial" w:cs="Arial"/>
                <w:sz w:val="20"/>
                <w:szCs w:val="20"/>
              </w:rPr>
              <w:t>2</w:t>
            </w:r>
            <w:r w:rsidRPr="0088338F">
              <w:rPr>
                <w:rFonts w:ascii="Arial" w:hAnsi="Arial" w:cs="Arial"/>
                <w:sz w:val="20"/>
                <w:szCs w:val="20"/>
              </w:rPr>
              <w:t xml:space="preserve"> rokov,</w:t>
            </w:r>
            <w:r w:rsidR="00F125DE" w:rsidRPr="0088338F">
              <w:rPr>
                <w:rFonts w:ascii="Arial" w:hAnsi="Arial" w:cs="Arial"/>
                <w:sz w:val="20"/>
                <w:szCs w:val="20"/>
              </w:rPr>
              <w:t xml:space="preserve"> lineárne</w:t>
            </w:r>
            <w:r w:rsidRPr="0088338F">
              <w:rPr>
                <w:rFonts w:ascii="Arial" w:hAnsi="Arial" w:cs="Arial"/>
                <w:sz w:val="20"/>
                <w:szCs w:val="20"/>
              </w:rPr>
              <w:t xml:space="preserve"> </w:t>
            </w:r>
          </w:p>
        </w:tc>
      </w:tr>
    </w:tbl>
    <w:p w14:paraId="1EA7219E" w14:textId="77777777" w:rsidR="00586D06" w:rsidRPr="0088338F" w:rsidRDefault="00586D06" w:rsidP="00AF7DDE">
      <w:pPr>
        <w:pStyle w:val="StyleLeft1cm"/>
        <w:ind w:left="0"/>
        <w:rPr>
          <w:rFonts w:ascii="Arial" w:hAnsi="Arial" w:cs="Arial"/>
          <w:sz w:val="16"/>
          <w:szCs w:val="16"/>
          <w:lang w:val="sk-SK"/>
        </w:rPr>
      </w:pPr>
    </w:p>
    <w:p w14:paraId="0CC1690B" w14:textId="77777777" w:rsidR="00A17B0F" w:rsidRPr="0088338F" w:rsidRDefault="00BB20D3" w:rsidP="00AF7DDE">
      <w:pPr>
        <w:pStyle w:val="StyleLeft1cm"/>
        <w:ind w:left="0"/>
        <w:rPr>
          <w:rFonts w:ascii="Arial" w:hAnsi="Arial" w:cs="Arial"/>
          <w:lang w:val="sk-SK"/>
        </w:rPr>
      </w:pPr>
      <w:r w:rsidRPr="0088338F">
        <w:rPr>
          <w:rFonts w:ascii="Arial" w:hAnsi="Arial" w:cs="Arial"/>
          <w:lang w:val="sk-SK"/>
        </w:rPr>
        <w:t>Pozemky a n</w:t>
      </w:r>
      <w:r w:rsidR="00AF7DDE" w:rsidRPr="0088338F">
        <w:rPr>
          <w:rFonts w:ascii="Arial" w:hAnsi="Arial" w:cs="Arial"/>
          <w:lang w:val="sk-SK"/>
        </w:rPr>
        <w:t xml:space="preserve">edokončené </w:t>
      </w:r>
      <w:r w:rsidR="00F415F4" w:rsidRPr="0088338F">
        <w:rPr>
          <w:rFonts w:ascii="Arial" w:hAnsi="Arial" w:cs="Arial"/>
          <w:lang w:val="sk-SK"/>
        </w:rPr>
        <w:t xml:space="preserve"> </w:t>
      </w:r>
      <w:r w:rsidR="00AF7DDE" w:rsidRPr="0088338F">
        <w:rPr>
          <w:rFonts w:ascii="Arial" w:hAnsi="Arial" w:cs="Arial"/>
          <w:lang w:val="sk-SK"/>
        </w:rPr>
        <w:t>investície sa neodpisujú.</w:t>
      </w:r>
    </w:p>
    <w:p w14:paraId="72E778C6" w14:textId="77777777" w:rsidR="004458D0" w:rsidRPr="0088338F" w:rsidRDefault="004458D0" w:rsidP="00AF7DDE">
      <w:pPr>
        <w:tabs>
          <w:tab w:val="left" w:pos="1134"/>
          <w:tab w:val="right" w:pos="4820"/>
          <w:tab w:val="right" w:pos="6521"/>
          <w:tab w:val="right" w:pos="8222"/>
        </w:tabs>
        <w:jc w:val="both"/>
        <w:rPr>
          <w:rFonts w:ascii="Arial" w:hAnsi="Arial" w:cs="Arial"/>
          <w:sz w:val="20"/>
          <w:szCs w:val="20"/>
        </w:rPr>
      </w:pPr>
    </w:p>
    <w:p w14:paraId="35114375" w14:textId="37673055" w:rsidR="00AF7DDE" w:rsidRPr="0088338F" w:rsidRDefault="00AF7DDE" w:rsidP="00AF7DDE">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Zisky a straty z predaja hmotného a nehmotného majetku sa stanovujú podľa jeho zostatkovej hodnoty a vykazujú vo výkaze ziskov a strát v roku predaja. Drobný hmotný a nehmotný majetok a technické zhodnotenie v prípade hmotného majetku v cene do </w:t>
      </w:r>
      <w:r w:rsidR="003E1773" w:rsidRPr="0088338F">
        <w:rPr>
          <w:rFonts w:ascii="Arial" w:hAnsi="Arial" w:cs="Arial"/>
          <w:sz w:val="20"/>
          <w:szCs w:val="20"/>
        </w:rPr>
        <w:t>1 700 EUR</w:t>
      </w:r>
      <w:r w:rsidRPr="0088338F">
        <w:rPr>
          <w:rFonts w:ascii="Arial" w:hAnsi="Arial" w:cs="Arial"/>
          <w:sz w:val="20"/>
          <w:szCs w:val="20"/>
        </w:rPr>
        <w:t xml:space="preserve"> a v prípade nehmotného majetku v cene do </w:t>
      </w:r>
      <w:r w:rsidR="003E1773" w:rsidRPr="0088338F">
        <w:rPr>
          <w:rFonts w:ascii="Arial" w:hAnsi="Arial" w:cs="Arial"/>
          <w:sz w:val="20"/>
          <w:szCs w:val="20"/>
        </w:rPr>
        <w:t>2 400 EUR</w:t>
      </w:r>
      <w:r w:rsidRPr="0088338F">
        <w:rPr>
          <w:rFonts w:ascii="Arial" w:hAnsi="Arial" w:cs="Arial"/>
          <w:sz w:val="20"/>
          <w:szCs w:val="20"/>
        </w:rPr>
        <w:t xml:space="preserve"> sa vykazujú vo výkaze ziskov a strát pri vzniku takýchto nákladov.</w:t>
      </w:r>
    </w:p>
    <w:p w14:paraId="7255BF56" w14:textId="77777777" w:rsidR="00AF7DDE" w:rsidRPr="0088338F" w:rsidRDefault="00AF7DDE" w:rsidP="00AF7DDE">
      <w:pPr>
        <w:tabs>
          <w:tab w:val="left" w:pos="1134"/>
          <w:tab w:val="right" w:pos="4820"/>
          <w:tab w:val="right" w:pos="6521"/>
          <w:tab w:val="right" w:pos="8222"/>
        </w:tabs>
        <w:jc w:val="both"/>
        <w:rPr>
          <w:rFonts w:ascii="Arial" w:hAnsi="Arial" w:cs="Arial"/>
          <w:sz w:val="20"/>
          <w:szCs w:val="20"/>
        </w:rPr>
      </w:pPr>
    </w:p>
    <w:p w14:paraId="5E9A2C4B" w14:textId="77777777" w:rsidR="00AF7DDE" w:rsidRPr="0088338F" w:rsidRDefault="00AF7DDE" w:rsidP="00AF7DDE">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Náklady na údržbu existujúceho softvéru sa priebežne účtujú do nákladov v položke „Všeobecné prevádzkové náklady“ pri vzniku, zatiaľ čo náklady na technické zhodnotenie sa aktivujú a zvyšujú obstarávaciu cenu softvéru. </w:t>
      </w:r>
    </w:p>
    <w:p w14:paraId="0CB5FDC4" w14:textId="77777777" w:rsidR="000236BA" w:rsidRDefault="000236BA" w:rsidP="00AF7DDE">
      <w:pPr>
        <w:tabs>
          <w:tab w:val="left" w:pos="1134"/>
          <w:tab w:val="right" w:pos="4820"/>
          <w:tab w:val="right" w:pos="6521"/>
          <w:tab w:val="right" w:pos="8222"/>
        </w:tabs>
        <w:jc w:val="both"/>
        <w:rPr>
          <w:rFonts w:ascii="Arial" w:hAnsi="Arial" w:cs="Arial"/>
          <w:sz w:val="20"/>
          <w:szCs w:val="20"/>
        </w:rPr>
      </w:pPr>
    </w:p>
    <w:p w14:paraId="53A6BB8B" w14:textId="77777777" w:rsidR="00D31134" w:rsidRPr="0088338F" w:rsidRDefault="00D31134" w:rsidP="00AF7DDE">
      <w:pPr>
        <w:tabs>
          <w:tab w:val="left" w:pos="1134"/>
          <w:tab w:val="right" w:pos="4820"/>
          <w:tab w:val="right" w:pos="6521"/>
          <w:tab w:val="right" w:pos="8222"/>
        </w:tabs>
        <w:jc w:val="both"/>
        <w:rPr>
          <w:rFonts w:ascii="Arial" w:hAnsi="Arial" w:cs="Arial"/>
          <w:sz w:val="20"/>
          <w:szCs w:val="20"/>
        </w:rPr>
      </w:pPr>
    </w:p>
    <w:p w14:paraId="760D6A47" w14:textId="77777777" w:rsidR="00327BBA" w:rsidRPr="0088338F" w:rsidRDefault="00327BBA" w:rsidP="00327BBA">
      <w:pPr>
        <w:tabs>
          <w:tab w:val="left" w:pos="1134"/>
          <w:tab w:val="right" w:pos="4820"/>
          <w:tab w:val="right" w:pos="6521"/>
          <w:tab w:val="right" w:pos="8222"/>
        </w:tabs>
        <w:jc w:val="both"/>
        <w:rPr>
          <w:rFonts w:ascii="Arial" w:hAnsi="Arial" w:cs="Arial"/>
          <w:b/>
          <w:sz w:val="20"/>
          <w:szCs w:val="20"/>
        </w:rPr>
      </w:pPr>
      <w:r w:rsidRPr="0088338F">
        <w:rPr>
          <w:rFonts w:ascii="Arial" w:hAnsi="Arial" w:cs="Arial"/>
          <w:b/>
          <w:sz w:val="20"/>
          <w:szCs w:val="20"/>
        </w:rPr>
        <w:t>(</w:t>
      </w:r>
      <w:r w:rsidR="004458D0" w:rsidRPr="0088338F">
        <w:rPr>
          <w:rFonts w:ascii="Arial" w:hAnsi="Arial" w:cs="Arial"/>
          <w:b/>
          <w:sz w:val="20"/>
          <w:szCs w:val="20"/>
        </w:rPr>
        <w:t>11</w:t>
      </w:r>
      <w:r w:rsidRPr="0088338F">
        <w:rPr>
          <w:rFonts w:ascii="Arial" w:hAnsi="Arial" w:cs="Arial"/>
          <w:b/>
          <w:sz w:val="20"/>
          <w:szCs w:val="20"/>
        </w:rPr>
        <w:t>) Zníženie hodnoty hmotného a nehmotného majetku</w:t>
      </w:r>
    </w:p>
    <w:p w14:paraId="7BB328D7" w14:textId="77777777" w:rsidR="00327BBA" w:rsidRPr="0088338F" w:rsidRDefault="00327BBA" w:rsidP="00327BBA">
      <w:pPr>
        <w:tabs>
          <w:tab w:val="left" w:pos="1134"/>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K dátumu zostavenia účtovnej závierky banka posudzuje účtovnú hodnotu hmotného a nehmotného majetku, aby určila, či existujú náznaky, že hodnota daného majetku sa znížila. V prípade výskytu takýchto náznakov sa vypracuje odhad návratnej hodnoty daného majetku, aby sa určil rozsah prípadných strát zo zníženia jeho hodnoty. </w:t>
      </w:r>
    </w:p>
    <w:p w14:paraId="2332B479" w14:textId="77777777" w:rsidR="00327BBA" w:rsidRPr="0088338F" w:rsidRDefault="00327BBA" w:rsidP="00327BBA">
      <w:pPr>
        <w:tabs>
          <w:tab w:val="left" w:pos="1134"/>
          <w:tab w:val="right" w:pos="4820"/>
          <w:tab w:val="right" w:pos="6521"/>
          <w:tab w:val="right" w:pos="8222"/>
        </w:tabs>
        <w:jc w:val="both"/>
        <w:rPr>
          <w:rFonts w:ascii="Arial" w:hAnsi="Arial" w:cs="Arial"/>
          <w:sz w:val="20"/>
          <w:szCs w:val="20"/>
        </w:rPr>
      </w:pPr>
    </w:p>
    <w:p w14:paraId="47D32AB7" w14:textId="3E75AFEB" w:rsidR="00D31134" w:rsidRDefault="00327BBA" w:rsidP="00D31134">
      <w:pPr>
        <w:tabs>
          <w:tab w:val="left" w:pos="1134"/>
          <w:tab w:val="right" w:pos="4820"/>
          <w:tab w:val="right" w:pos="6521"/>
          <w:tab w:val="right" w:pos="8222"/>
        </w:tabs>
        <w:jc w:val="both"/>
        <w:rPr>
          <w:rFonts w:ascii="Arial" w:hAnsi="Arial" w:cs="Arial"/>
          <w:b/>
          <w:sz w:val="20"/>
          <w:szCs w:val="20"/>
        </w:rPr>
      </w:pPr>
      <w:r w:rsidRPr="0088338F">
        <w:rPr>
          <w:rFonts w:ascii="Arial" w:hAnsi="Arial" w:cs="Arial"/>
          <w:sz w:val="20"/>
          <w:szCs w:val="20"/>
        </w:rPr>
        <w:t>Návratná hodnota sa rovná vyššej z hodnôt – reálnej hodnote zníženej o náklady na predaj alebo súčasnej hodnote budúcich peňažných tokov, ktoré sa očakávajú, že budú získané z daného majetku. Ak jedna z uvedených hodnôt prevyšuje účtovnú hodnotu, netreba odhadovať druhú hodnotu. Ak je odhad návratnej hodnoty majetku nižší než jeho účtovná hodnota, zníži sa účtovná hodnota daného majetku na jeho návratnú hodnotu. Strata zo zníženia hodnoty sa premietne priamo do výkazu ziskov a strát.</w:t>
      </w:r>
      <w:r w:rsidR="00D31134">
        <w:rPr>
          <w:rFonts w:ascii="Arial" w:hAnsi="Arial" w:cs="Arial"/>
          <w:b/>
          <w:sz w:val="20"/>
          <w:szCs w:val="20"/>
        </w:rPr>
        <w:br w:type="page"/>
      </w:r>
    </w:p>
    <w:p w14:paraId="46B29EFF" w14:textId="3E546C7F"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lastRenderedPageBreak/>
        <w:t>(</w:t>
      </w:r>
      <w:r w:rsidR="004458D0" w:rsidRPr="0088338F">
        <w:rPr>
          <w:rFonts w:ascii="Arial" w:hAnsi="Arial" w:cs="Arial"/>
          <w:b/>
          <w:sz w:val="20"/>
          <w:szCs w:val="20"/>
        </w:rPr>
        <w:t>12</w:t>
      </w:r>
      <w:r w:rsidRPr="0088338F">
        <w:rPr>
          <w:rFonts w:ascii="Arial" w:hAnsi="Arial" w:cs="Arial"/>
          <w:b/>
          <w:sz w:val="20"/>
          <w:szCs w:val="20"/>
        </w:rPr>
        <w:t>) Poskytnuté záruky</w:t>
      </w:r>
    </w:p>
    <w:p w14:paraId="4D8A7C18" w14:textId="77777777" w:rsidR="00A17B0F" w:rsidRPr="0088338F" w:rsidRDefault="00A17B0F" w:rsidP="0097135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V rámci svojho bežného podnikania </w:t>
      </w:r>
      <w:r w:rsidR="00B022E8" w:rsidRPr="0088338F">
        <w:rPr>
          <w:rFonts w:ascii="Arial" w:hAnsi="Arial" w:cs="Arial"/>
          <w:sz w:val="20"/>
          <w:szCs w:val="20"/>
        </w:rPr>
        <w:t xml:space="preserve">banka </w:t>
      </w:r>
      <w:r w:rsidRPr="0088338F">
        <w:rPr>
          <w:rFonts w:ascii="Arial" w:hAnsi="Arial" w:cs="Arial"/>
          <w:sz w:val="20"/>
          <w:szCs w:val="20"/>
        </w:rPr>
        <w:t xml:space="preserve">poskytuje finančné záruky </w:t>
      </w:r>
      <w:r w:rsidR="00573A57" w:rsidRPr="0088338F">
        <w:rPr>
          <w:rFonts w:ascii="Arial" w:hAnsi="Arial" w:cs="Arial"/>
          <w:sz w:val="20"/>
          <w:szCs w:val="20"/>
        </w:rPr>
        <w:t>vo forme</w:t>
      </w:r>
      <w:r w:rsidRPr="0088338F">
        <w:rPr>
          <w:rFonts w:ascii="Arial" w:hAnsi="Arial" w:cs="Arial"/>
          <w:sz w:val="20"/>
          <w:szCs w:val="20"/>
        </w:rPr>
        <w:t> akreditívov, záruk a prijatých zmeniek. Finančné záruky sa prvotne oceňujú v  reálnej hodnote</w:t>
      </w:r>
      <w:r w:rsidR="00F125DE" w:rsidRPr="0088338F">
        <w:rPr>
          <w:rFonts w:ascii="Arial" w:hAnsi="Arial" w:cs="Arial"/>
          <w:sz w:val="20"/>
          <w:szCs w:val="20"/>
        </w:rPr>
        <w:t xml:space="preserve"> v položke „Ostatné záväzky“</w:t>
      </w:r>
      <w:r w:rsidRPr="0088338F">
        <w:rPr>
          <w:rFonts w:ascii="Arial" w:hAnsi="Arial" w:cs="Arial"/>
          <w:sz w:val="20"/>
          <w:szCs w:val="20"/>
        </w:rPr>
        <w:t>. Po prvotnom vykázaní sa záväzok banky z poskytnutej záruky oceňuje buď amortizovanou hodnotou</w:t>
      </w:r>
      <w:r w:rsidR="003A04D4" w:rsidRPr="0088338F">
        <w:rPr>
          <w:rFonts w:ascii="Arial" w:hAnsi="Arial" w:cs="Arial"/>
          <w:sz w:val="20"/>
          <w:szCs w:val="20"/>
        </w:rPr>
        <w:t>,</w:t>
      </w:r>
      <w:r w:rsidRPr="0088338F">
        <w:rPr>
          <w:rFonts w:ascii="Arial" w:hAnsi="Arial" w:cs="Arial"/>
          <w:sz w:val="20"/>
          <w:szCs w:val="20"/>
        </w:rPr>
        <w:t xml:space="preserve"> alebo najlepším odhadom výdavkov požadovaných na účely vyrovnania finančnej povinnosti z titulu záruky podľa toho, ktorá hodnota je vyššia</w:t>
      </w:r>
      <w:r w:rsidR="003A04D4" w:rsidRPr="0088338F">
        <w:rPr>
          <w:rFonts w:ascii="Arial" w:hAnsi="Arial" w:cs="Arial"/>
          <w:sz w:val="20"/>
          <w:szCs w:val="20"/>
        </w:rPr>
        <w:t>,</w:t>
      </w:r>
      <w:r w:rsidRPr="0088338F">
        <w:rPr>
          <w:rFonts w:ascii="Arial" w:hAnsi="Arial" w:cs="Arial"/>
          <w:sz w:val="20"/>
          <w:szCs w:val="20"/>
        </w:rPr>
        <w:t xml:space="preserve"> a vykazuje v položke „Ostatné záväzky“.</w:t>
      </w:r>
    </w:p>
    <w:p w14:paraId="551DCD79" w14:textId="77777777" w:rsidR="000236BA" w:rsidRPr="0088338F" w:rsidRDefault="000236BA" w:rsidP="0097135F">
      <w:pPr>
        <w:tabs>
          <w:tab w:val="left" w:pos="0"/>
          <w:tab w:val="right" w:pos="4820"/>
          <w:tab w:val="right" w:pos="6521"/>
          <w:tab w:val="right" w:pos="8222"/>
        </w:tabs>
        <w:jc w:val="both"/>
        <w:rPr>
          <w:rFonts w:ascii="Arial" w:hAnsi="Arial" w:cs="Arial"/>
          <w:sz w:val="20"/>
          <w:szCs w:val="20"/>
        </w:rPr>
      </w:pPr>
    </w:p>
    <w:p w14:paraId="06AAAA77"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w:t>
      </w:r>
      <w:r w:rsidR="004458D0" w:rsidRPr="0088338F">
        <w:rPr>
          <w:rFonts w:ascii="Arial" w:hAnsi="Arial" w:cs="Arial"/>
          <w:b/>
          <w:sz w:val="20"/>
          <w:szCs w:val="20"/>
        </w:rPr>
        <w:t>13</w:t>
      </w:r>
      <w:r w:rsidRPr="0088338F">
        <w:rPr>
          <w:rFonts w:ascii="Arial" w:hAnsi="Arial" w:cs="Arial"/>
          <w:b/>
          <w:sz w:val="20"/>
          <w:szCs w:val="20"/>
        </w:rPr>
        <w:t>) Rezervy</w:t>
      </w:r>
    </w:p>
    <w:p w14:paraId="5C5A5B30" w14:textId="77777777" w:rsidR="00A17B0F" w:rsidRPr="0088338F" w:rsidRDefault="00F125DE"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Rezervy sú záväzky s neistou hodnotou alebo splatnosťou. </w:t>
      </w:r>
      <w:r w:rsidR="00A17B0F" w:rsidRPr="0088338F">
        <w:rPr>
          <w:rFonts w:ascii="Arial" w:hAnsi="Arial" w:cs="Arial"/>
          <w:sz w:val="20"/>
          <w:szCs w:val="20"/>
        </w:rPr>
        <w:t xml:space="preserve">Rezerva sa tvorí v prípade, ak má </w:t>
      </w:r>
      <w:r w:rsidR="009057C5" w:rsidRPr="0088338F">
        <w:rPr>
          <w:rFonts w:ascii="Arial" w:hAnsi="Arial" w:cs="Arial"/>
          <w:sz w:val="20"/>
          <w:szCs w:val="20"/>
        </w:rPr>
        <w:t xml:space="preserve">banka </w:t>
      </w:r>
      <w:r w:rsidR="00A17B0F" w:rsidRPr="0088338F">
        <w:rPr>
          <w:rFonts w:ascii="Arial" w:hAnsi="Arial" w:cs="Arial"/>
          <w:sz w:val="20"/>
          <w:szCs w:val="20"/>
        </w:rPr>
        <w:t>právny alebo vecný záväzok ako výsledok minulých udalostí a je pravdepodobné, že na splnenie tohto záväzku bude potrebné vynaloženie peňažných prostriedkov</w:t>
      </w:r>
      <w:r w:rsidRPr="0088338F">
        <w:rPr>
          <w:rFonts w:ascii="Arial" w:hAnsi="Arial" w:cs="Arial"/>
          <w:sz w:val="20"/>
          <w:szCs w:val="20"/>
        </w:rPr>
        <w:t xml:space="preserve"> a zároveň sa výška budúcich vynaložených prostriedkov dá spoľahlivo odhadnúť. </w:t>
      </w:r>
    </w:p>
    <w:p w14:paraId="116936FA" w14:textId="77777777" w:rsidR="0099407A" w:rsidRPr="0088338F" w:rsidRDefault="0099407A" w:rsidP="00AF7DDE">
      <w:pPr>
        <w:tabs>
          <w:tab w:val="left" w:pos="0"/>
          <w:tab w:val="right" w:pos="4820"/>
          <w:tab w:val="right" w:pos="6521"/>
          <w:tab w:val="right" w:pos="8222"/>
        </w:tabs>
        <w:jc w:val="both"/>
        <w:rPr>
          <w:rFonts w:ascii="Arial" w:hAnsi="Arial" w:cs="Arial"/>
          <w:sz w:val="20"/>
          <w:szCs w:val="20"/>
        </w:rPr>
      </w:pPr>
    </w:p>
    <w:p w14:paraId="0C6ED5F0" w14:textId="77777777" w:rsidR="00AF7DDE" w:rsidRPr="0088338F" w:rsidRDefault="00AF7DDE" w:rsidP="00AF7DDE">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Výška rezerv sa určuje na základe najlepšieho odhadu sumy potrebnej na úhradu súčasného záväzku k dátumu zostavenia účtovnej závierky po zohľadnení rizík a neistoty spojených s daným záväzkom. Ak sa rezervy určujú pomocou odhadu peňažných tokov potrebných na úhradu súčasného záväzku, ich účtovná hodnota sa rovná súčasnej hodnote týchto peňažných tokov.</w:t>
      </w:r>
    </w:p>
    <w:p w14:paraId="131205BF" w14:textId="77777777" w:rsidR="00AF7DDE" w:rsidRPr="0088338F" w:rsidRDefault="00AF7DDE" w:rsidP="00AF7DDE">
      <w:pPr>
        <w:tabs>
          <w:tab w:val="left" w:pos="0"/>
          <w:tab w:val="right" w:pos="4820"/>
          <w:tab w:val="right" w:pos="6521"/>
          <w:tab w:val="right" w:pos="8222"/>
        </w:tabs>
        <w:jc w:val="both"/>
        <w:rPr>
          <w:rFonts w:ascii="Arial" w:hAnsi="Arial" w:cs="Arial"/>
          <w:sz w:val="20"/>
          <w:szCs w:val="20"/>
        </w:rPr>
      </w:pPr>
    </w:p>
    <w:p w14:paraId="357334A6" w14:textId="77777777" w:rsidR="00AF7DDE" w:rsidRPr="0088338F" w:rsidRDefault="00AF7DDE" w:rsidP="00AF7DDE">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Ak sa predpokladá, že časť alebo všetky ekonomické úžitky potrebné na vyrovnanie rezerv sa získajú od tretej strany, pohľadávka sa vykáže na strane aktív, ak je nepochybné, že banka získa odškodnenie a výšku takejto pohľadávky možno spoľahlivo určiť.</w:t>
      </w:r>
    </w:p>
    <w:p w14:paraId="5F188AFB" w14:textId="77777777" w:rsidR="008544EC" w:rsidRDefault="008544EC">
      <w:pPr>
        <w:rPr>
          <w:rFonts w:ascii="Arial" w:hAnsi="Arial" w:cs="Arial"/>
          <w:b/>
          <w:sz w:val="20"/>
          <w:szCs w:val="20"/>
        </w:rPr>
      </w:pPr>
    </w:p>
    <w:p w14:paraId="56ED6BF3" w14:textId="77777777" w:rsidR="00D31134" w:rsidRPr="0088338F" w:rsidRDefault="00D31134">
      <w:pPr>
        <w:rPr>
          <w:rFonts w:ascii="Arial" w:hAnsi="Arial" w:cs="Arial"/>
          <w:b/>
          <w:sz w:val="20"/>
          <w:szCs w:val="20"/>
        </w:rPr>
      </w:pPr>
    </w:p>
    <w:p w14:paraId="5F3585E6" w14:textId="56E92238"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w:t>
      </w:r>
      <w:r w:rsidR="004458D0" w:rsidRPr="0088338F">
        <w:rPr>
          <w:rFonts w:ascii="Arial" w:hAnsi="Arial" w:cs="Arial"/>
          <w:b/>
          <w:sz w:val="20"/>
          <w:szCs w:val="20"/>
        </w:rPr>
        <w:t>14</w:t>
      </w:r>
      <w:r w:rsidRPr="0088338F">
        <w:rPr>
          <w:rFonts w:ascii="Arial" w:hAnsi="Arial" w:cs="Arial"/>
          <w:b/>
          <w:sz w:val="20"/>
          <w:szCs w:val="20"/>
        </w:rPr>
        <w:t>) Vykázanie nákladov a výnosov</w:t>
      </w:r>
    </w:p>
    <w:p w14:paraId="235EC457"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p>
    <w:p w14:paraId="059EF3C8"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 xml:space="preserve">(i) Úrokové náklady a výnosy </w:t>
      </w:r>
    </w:p>
    <w:p w14:paraId="3DFAFFA5"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Úrokové výnosy a náklady sa účtujú do výkazu ziskov a strát do obdobia, s ktorým časovo a vecne súvisia použitím metódy efektívneho úroku.</w:t>
      </w:r>
    </w:p>
    <w:p w14:paraId="612E3B6D"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p>
    <w:p w14:paraId="45AAA04F"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Metóda efektívneho úroku je metódou výpočtu amortizovanej hodnoty finančného majetku alebo finančného záväzku, alebo skupiny finančného majetku alebo finančných záväzkov, pomocou rozvrhnutia úrokových výnosov a úrokových nákladov počas príslušného obdobia. Efektívna úroková miera je úroková miera, ktorou sa presne diskontujú odhadované budúce platby alebo príjmy počas očakávanej životnosti finančného nástroja, aby sa rovnali čistej účtovnej hodnote finančného majetku alebo finančného záväzku.</w:t>
      </w:r>
    </w:p>
    <w:p w14:paraId="3DD4DD20" w14:textId="77777777" w:rsidR="004458D0" w:rsidRPr="0088338F" w:rsidRDefault="004458D0" w:rsidP="00A17B0F">
      <w:pPr>
        <w:tabs>
          <w:tab w:val="left" w:pos="0"/>
          <w:tab w:val="right" w:pos="4820"/>
          <w:tab w:val="right" w:pos="6521"/>
          <w:tab w:val="right" w:pos="8222"/>
        </w:tabs>
        <w:jc w:val="both"/>
        <w:rPr>
          <w:rFonts w:ascii="Arial" w:hAnsi="Arial" w:cs="Arial"/>
          <w:sz w:val="20"/>
          <w:szCs w:val="20"/>
        </w:rPr>
      </w:pPr>
    </w:p>
    <w:p w14:paraId="2A33FA14" w14:textId="54473C2C"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Poplatky prijaté za poskytnutie úverov a úverových prísľubov, ktoré sú kompenzáciou za aktivity uskutočnené na účel udržania nástroja, sú rozlišované do obdobia, s ktorým časovo a vecne súvisia</w:t>
      </w:r>
      <w:r w:rsidR="003A04D4" w:rsidRPr="0088338F">
        <w:rPr>
          <w:rFonts w:ascii="Arial" w:hAnsi="Arial" w:cs="Arial"/>
          <w:sz w:val="20"/>
          <w:szCs w:val="20"/>
        </w:rPr>
        <w:t>,</w:t>
      </w:r>
      <w:r w:rsidRPr="0088338F">
        <w:rPr>
          <w:rFonts w:ascii="Arial" w:hAnsi="Arial" w:cs="Arial"/>
          <w:sz w:val="20"/>
          <w:szCs w:val="20"/>
        </w:rPr>
        <w:t xml:space="preserve"> a rozoznávané ako úpravy efektívnej úrokovej miery.</w:t>
      </w:r>
    </w:p>
    <w:p w14:paraId="270DA8DC"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p>
    <w:p w14:paraId="5213C05C"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 xml:space="preserve">Úrokové výnosy a náklady zahŕňajú tiež transakčné poplatky pri vzniku finančného nástroja. </w:t>
      </w:r>
    </w:p>
    <w:p w14:paraId="5AC76B5A"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p>
    <w:p w14:paraId="2F6E450C" w14:textId="77777777" w:rsidR="00A17B0F"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(ii) Výnosy a náklady z poplatkov a provízií</w:t>
      </w:r>
    </w:p>
    <w:p w14:paraId="345B9FAC" w14:textId="1FC5B7E6" w:rsidR="00A17B0F" w:rsidRPr="0088338F" w:rsidRDefault="00A17B0F" w:rsidP="00A17B0F">
      <w:pPr>
        <w:tabs>
          <w:tab w:val="left" w:pos="0"/>
          <w:tab w:val="right" w:pos="4820"/>
          <w:tab w:val="right" w:pos="6521"/>
          <w:tab w:val="right" w:pos="8222"/>
        </w:tabs>
        <w:jc w:val="both"/>
        <w:rPr>
          <w:rFonts w:ascii="Arial" w:hAnsi="Arial" w:cs="Arial"/>
          <w:sz w:val="20"/>
          <w:szCs w:val="20"/>
        </w:rPr>
      </w:pPr>
      <w:r w:rsidRPr="0088338F">
        <w:rPr>
          <w:rFonts w:ascii="Arial" w:hAnsi="Arial" w:cs="Arial"/>
          <w:sz w:val="20"/>
          <w:szCs w:val="20"/>
        </w:rPr>
        <w:t>Poplatky prijaté za správu úverov a ostatné prijaté a zaplatené poplatky sú vykázané vo výkaze ziskov a strát, keď je služba poskytnutá alebo prijatá.</w:t>
      </w:r>
      <w:r w:rsidR="002F5167" w:rsidRPr="0088338F">
        <w:rPr>
          <w:rFonts w:ascii="Arial" w:hAnsi="Arial" w:cs="Arial"/>
          <w:sz w:val="20"/>
          <w:szCs w:val="20"/>
        </w:rPr>
        <w:t xml:space="preserve"> Banka priíjma poplatky najmä v súvislosti s vydávaním cenných papierov pre spriaznené osoby.</w:t>
      </w:r>
    </w:p>
    <w:p w14:paraId="3A0959CF"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p>
    <w:p w14:paraId="13C72940" w14:textId="77777777" w:rsidR="00A17B0F" w:rsidRPr="0088338F" w:rsidRDefault="00A17B0F" w:rsidP="00A17B0F">
      <w:pPr>
        <w:tabs>
          <w:tab w:val="left" w:pos="0"/>
          <w:tab w:val="right" w:pos="4820"/>
          <w:tab w:val="right" w:pos="6521"/>
          <w:tab w:val="right" w:pos="8222"/>
        </w:tabs>
        <w:jc w:val="both"/>
        <w:rPr>
          <w:rFonts w:ascii="Arial" w:hAnsi="Arial" w:cs="Arial"/>
          <w:bCs/>
          <w:sz w:val="20"/>
          <w:szCs w:val="20"/>
        </w:rPr>
      </w:pPr>
      <w:r w:rsidRPr="0088338F">
        <w:rPr>
          <w:rFonts w:ascii="Arial" w:hAnsi="Arial" w:cs="Arial"/>
          <w:b/>
          <w:sz w:val="20"/>
          <w:szCs w:val="20"/>
        </w:rPr>
        <w:t>(iii) Daň z príjmu</w:t>
      </w:r>
    </w:p>
    <w:p w14:paraId="5A8647ED" w14:textId="77777777" w:rsidR="00A17B0F" w:rsidRPr="0088338F" w:rsidRDefault="00A17B0F" w:rsidP="00A17B0F">
      <w:pPr>
        <w:tabs>
          <w:tab w:val="left" w:pos="0"/>
          <w:tab w:val="right" w:pos="4820"/>
          <w:tab w:val="right" w:pos="6521"/>
          <w:tab w:val="right" w:pos="8222"/>
        </w:tabs>
        <w:jc w:val="both"/>
        <w:rPr>
          <w:rFonts w:ascii="Arial" w:hAnsi="Arial" w:cs="Arial"/>
          <w:bCs/>
          <w:sz w:val="20"/>
          <w:szCs w:val="20"/>
        </w:rPr>
      </w:pPr>
      <w:r w:rsidRPr="0088338F">
        <w:rPr>
          <w:rFonts w:ascii="Arial" w:hAnsi="Arial" w:cs="Arial"/>
          <w:bCs/>
          <w:sz w:val="20"/>
          <w:szCs w:val="20"/>
        </w:rPr>
        <w:t>Daň z príjmu pozostáva zo splatnej a odloženej dane.</w:t>
      </w:r>
    </w:p>
    <w:p w14:paraId="6C823A78" w14:textId="77777777" w:rsidR="00A17B0F" w:rsidRPr="0088338F" w:rsidRDefault="00A17B0F" w:rsidP="00A17B0F">
      <w:pPr>
        <w:tabs>
          <w:tab w:val="left" w:pos="0"/>
          <w:tab w:val="right" w:pos="4820"/>
          <w:tab w:val="right" w:pos="6521"/>
          <w:tab w:val="right" w:pos="8222"/>
        </w:tabs>
        <w:jc w:val="both"/>
        <w:rPr>
          <w:rFonts w:ascii="Arial" w:hAnsi="Arial" w:cs="Arial"/>
          <w:bCs/>
          <w:sz w:val="20"/>
          <w:szCs w:val="20"/>
        </w:rPr>
      </w:pPr>
    </w:p>
    <w:p w14:paraId="5B09F299" w14:textId="77777777" w:rsidR="00A17B0F" w:rsidRPr="0088338F" w:rsidRDefault="00A17B0F" w:rsidP="00A17B0F">
      <w:pPr>
        <w:tabs>
          <w:tab w:val="left" w:pos="0"/>
          <w:tab w:val="right" w:pos="4820"/>
          <w:tab w:val="right" w:pos="6521"/>
          <w:tab w:val="right" w:pos="8222"/>
        </w:tabs>
        <w:jc w:val="both"/>
        <w:rPr>
          <w:rFonts w:ascii="Arial" w:hAnsi="Arial" w:cs="Arial"/>
          <w:bCs/>
          <w:sz w:val="20"/>
          <w:szCs w:val="20"/>
        </w:rPr>
      </w:pPr>
      <w:r w:rsidRPr="0088338F">
        <w:rPr>
          <w:rFonts w:ascii="Arial" w:hAnsi="Arial" w:cs="Arial"/>
          <w:bCs/>
          <w:sz w:val="20"/>
          <w:szCs w:val="20"/>
        </w:rPr>
        <w:t xml:space="preserve">Splatná daň je odhadovaný daňový záväzok vychádzajúci zo zdaniteľných príjmov za rok vypočítaný daňovou sadzbou ku dňu, ku ktorému sa zostavuje účtovná závierka spolu s akýmikoľvek úpravami splatnej dane za predchádzajúce roky. </w:t>
      </w:r>
    </w:p>
    <w:p w14:paraId="27ACABBA" w14:textId="77777777" w:rsidR="00A17B0F" w:rsidRPr="0088338F" w:rsidRDefault="00A17B0F" w:rsidP="00A17B0F">
      <w:pPr>
        <w:tabs>
          <w:tab w:val="left" w:pos="0"/>
          <w:tab w:val="right" w:pos="4820"/>
          <w:tab w:val="right" w:pos="6521"/>
          <w:tab w:val="right" w:pos="8222"/>
        </w:tabs>
        <w:jc w:val="both"/>
        <w:rPr>
          <w:rFonts w:ascii="Arial" w:hAnsi="Arial" w:cs="Arial"/>
          <w:sz w:val="20"/>
          <w:szCs w:val="20"/>
        </w:rPr>
      </w:pPr>
    </w:p>
    <w:p w14:paraId="2644D7BD" w14:textId="771D3AD4" w:rsidR="00A17B0F" w:rsidRPr="0088338F" w:rsidRDefault="00A17B0F" w:rsidP="00A17B0F">
      <w:pPr>
        <w:tabs>
          <w:tab w:val="left" w:pos="0"/>
          <w:tab w:val="right" w:pos="4820"/>
          <w:tab w:val="right" w:pos="6521"/>
          <w:tab w:val="right" w:pos="8222"/>
        </w:tabs>
        <w:jc w:val="both"/>
        <w:rPr>
          <w:rFonts w:ascii="Arial" w:hAnsi="Arial" w:cs="Arial"/>
          <w:bCs/>
          <w:sz w:val="20"/>
          <w:szCs w:val="20"/>
        </w:rPr>
      </w:pPr>
      <w:r w:rsidRPr="0088338F">
        <w:rPr>
          <w:rFonts w:ascii="Arial" w:hAnsi="Arial" w:cs="Arial"/>
          <w:bCs/>
          <w:sz w:val="20"/>
          <w:szCs w:val="20"/>
        </w:rPr>
        <w:t xml:space="preserve">Odložená daň sa počíta použitím súvahovej metódy pre dočasné rozdiely medzi účtovnou a daňovou hodnotou majetku a záväzkov. Odložená daň </w:t>
      </w:r>
      <w:r w:rsidR="003A04D4" w:rsidRPr="0088338F">
        <w:rPr>
          <w:rFonts w:ascii="Arial" w:hAnsi="Arial" w:cs="Arial"/>
          <w:bCs/>
          <w:sz w:val="20"/>
          <w:szCs w:val="20"/>
        </w:rPr>
        <w:t xml:space="preserve">sa </w:t>
      </w:r>
      <w:r w:rsidRPr="0088338F">
        <w:rPr>
          <w:rFonts w:ascii="Arial" w:hAnsi="Arial" w:cs="Arial"/>
          <w:bCs/>
          <w:sz w:val="20"/>
          <w:szCs w:val="20"/>
        </w:rPr>
        <w:t>vypočíta použitím očakávanej daňovej sadzby platnej v tom období, v ktorom budú časové rozdiely</w:t>
      </w:r>
      <w:r w:rsidR="00AF7DDE" w:rsidRPr="0088338F">
        <w:rPr>
          <w:rFonts w:ascii="Arial" w:hAnsi="Arial" w:cs="Arial"/>
          <w:bCs/>
          <w:sz w:val="20"/>
          <w:szCs w:val="20"/>
        </w:rPr>
        <w:t xml:space="preserve"> r</w:t>
      </w:r>
      <w:r w:rsidRPr="0088338F">
        <w:rPr>
          <w:rFonts w:ascii="Arial" w:hAnsi="Arial" w:cs="Arial"/>
          <w:bCs/>
          <w:sz w:val="20"/>
          <w:szCs w:val="20"/>
        </w:rPr>
        <w:t>everzované.</w:t>
      </w:r>
    </w:p>
    <w:p w14:paraId="175DB777" w14:textId="77777777" w:rsidR="00D31134" w:rsidRDefault="00D31134">
      <w:pPr>
        <w:rPr>
          <w:rFonts w:ascii="Arial" w:hAnsi="Arial" w:cs="Arial"/>
          <w:bCs/>
          <w:sz w:val="20"/>
          <w:szCs w:val="20"/>
        </w:rPr>
      </w:pPr>
      <w:r>
        <w:rPr>
          <w:rFonts w:ascii="Arial" w:hAnsi="Arial" w:cs="Arial"/>
          <w:bCs/>
          <w:sz w:val="20"/>
          <w:szCs w:val="20"/>
        </w:rPr>
        <w:br w:type="page"/>
      </w:r>
    </w:p>
    <w:p w14:paraId="5885434C" w14:textId="29AAC53E" w:rsidR="00A17B0F" w:rsidRPr="0088338F" w:rsidRDefault="00A17B0F" w:rsidP="00A17B0F">
      <w:pPr>
        <w:tabs>
          <w:tab w:val="left" w:pos="0"/>
          <w:tab w:val="right" w:pos="4820"/>
          <w:tab w:val="right" w:pos="6521"/>
          <w:tab w:val="right" w:pos="8222"/>
        </w:tabs>
        <w:jc w:val="both"/>
        <w:rPr>
          <w:rFonts w:ascii="Arial" w:hAnsi="Arial" w:cs="Arial"/>
          <w:bCs/>
          <w:sz w:val="20"/>
          <w:szCs w:val="20"/>
        </w:rPr>
      </w:pPr>
      <w:r w:rsidRPr="0088338F">
        <w:rPr>
          <w:rFonts w:ascii="Arial" w:hAnsi="Arial" w:cs="Arial"/>
          <w:bCs/>
          <w:sz w:val="20"/>
          <w:szCs w:val="20"/>
        </w:rPr>
        <w:lastRenderedPageBreak/>
        <w:t>Odložená daňová pohľadávka sa účtuje len do výšky očakávaných dostupných zdaniteľných ziskov, voči ktorým bude možné uplatniť nepoužité daňové straty a kredity. Odložená daňová pohľadávka sa znižuje do tej miery, do akej už nie je pravdepodobné, že sa súvisiaca daňová výhoda zrealizuje.</w:t>
      </w:r>
    </w:p>
    <w:p w14:paraId="0B73ABD4" w14:textId="77777777" w:rsidR="00AF7DDE" w:rsidRPr="0088338F" w:rsidRDefault="00AF7DDE" w:rsidP="00A17B0F">
      <w:pPr>
        <w:tabs>
          <w:tab w:val="left" w:pos="0"/>
          <w:tab w:val="right" w:pos="4820"/>
          <w:tab w:val="right" w:pos="6521"/>
          <w:tab w:val="right" w:pos="8222"/>
        </w:tabs>
        <w:jc w:val="both"/>
        <w:rPr>
          <w:rFonts w:ascii="Arial" w:hAnsi="Arial" w:cs="Arial"/>
          <w:bCs/>
          <w:sz w:val="20"/>
          <w:szCs w:val="20"/>
        </w:rPr>
      </w:pPr>
    </w:p>
    <w:p w14:paraId="6F93A919" w14:textId="77777777" w:rsidR="0034313C" w:rsidRPr="0088338F" w:rsidRDefault="00AF7DDE" w:rsidP="00D6133E">
      <w:pPr>
        <w:jc w:val="both"/>
        <w:rPr>
          <w:rFonts w:ascii="Arial" w:hAnsi="Arial" w:cs="Arial"/>
          <w:bCs/>
          <w:sz w:val="20"/>
          <w:szCs w:val="20"/>
        </w:rPr>
      </w:pPr>
      <w:r w:rsidRPr="0088338F">
        <w:rPr>
          <w:rFonts w:ascii="Arial" w:hAnsi="Arial" w:cs="Arial"/>
          <w:bCs/>
          <w:sz w:val="20"/>
          <w:szCs w:val="20"/>
        </w:rPr>
        <w:t>Odložená daň sa účtuje na ťarchu alebo v prospech účtov vo výkaze ziskov a strát okrem prípadov, keď súvisí s položkami, ktoré sa účtujú priamo do vlastného imania. Vtedy sa aj odložená daň účtuje do vlastného imania. Odložené daňové pohľadávky a záväzky sa započítavajú, ak existuje uplatniteľné právo na započítanie splatnej daňovej pohľadávky so splatným daňovým záväzkom za predpokladu, že ich vyrubil ten istý daňový úrad a</w:t>
      </w:r>
      <w:r w:rsidR="003A04D4" w:rsidRPr="0088338F">
        <w:rPr>
          <w:rFonts w:ascii="Arial" w:hAnsi="Arial" w:cs="Arial"/>
          <w:bCs/>
          <w:sz w:val="20"/>
          <w:szCs w:val="20"/>
        </w:rPr>
        <w:t xml:space="preserve"> že </w:t>
      </w:r>
      <w:r w:rsidRPr="0088338F">
        <w:rPr>
          <w:rFonts w:ascii="Arial" w:hAnsi="Arial" w:cs="Arial"/>
          <w:bCs/>
          <w:sz w:val="20"/>
          <w:szCs w:val="20"/>
        </w:rPr>
        <w:t>banka plánuje uhradiť svoje splatné daňové pohľadávky a záväzky v čistej výške.</w:t>
      </w:r>
    </w:p>
    <w:p w14:paraId="0ECB100F" w14:textId="77777777" w:rsidR="000818EA" w:rsidRPr="0088338F" w:rsidRDefault="000818EA" w:rsidP="00D6133E">
      <w:pPr>
        <w:jc w:val="both"/>
        <w:rPr>
          <w:rFonts w:ascii="Arial" w:hAnsi="Arial" w:cs="Arial"/>
          <w:sz w:val="20"/>
        </w:rPr>
      </w:pPr>
    </w:p>
    <w:p w14:paraId="3C073E36" w14:textId="77777777" w:rsidR="008F40D7" w:rsidRPr="0088338F" w:rsidRDefault="008F40D7" w:rsidP="00D6133E">
      <w:pPr>
        <w:jc w:val="both"/>
        <w:rPr>
          <w:rFonts w:ascii="Arial" w:hAnsi="Arial" w:cs="Arial"/>
          <w:sz w:val="20"/>
        </w:rPr>
      </w:pPr>
    </w:p>
    <w:p w14:paraId="1F33B930" w14:textId="77777777" w:rsidR="00885CDA"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w:t>
      </w:r>
      <w:r w:rsidR="004458D0" w:rsidRPr="0088338F">
        <w:rPr>
          <w:rFonts w:ascii="Arial" w:hAnsi="Arial" w:cs="Arial"/>
          <w:b/>
          <w:sz w:val="20"/>
          <w:szCs w:val="20"/>
        </w:rPr>
        <w:t>15</w:t>
      </w:r>
      <w:r w:rsidRPr="0088338F">
        <w:rPr>
          <w:rFonts w:ascii="Arial" w:hAnsi="Arial" w:cs="Arial"/>
          <w:b/>
          <w:sz w:val="20"/>
          <w:szCs w:val="20"/>
        </w:rPr>
        <w:t xml:space="preserve">) </w:t>
      </w:r>
      <w:r w:rsidR="00885CDA" w:rsidRPr="0088338F">
        <w:rPr>
          <w:rFonts w:ascii="Arial" w:hAnsi="Arial" w:cs="Arial"/>
          <w:b/>
          <w:sz w:val="20"/>
          <w:szCs w:val="20"/>
        </w:rPr>
        <w:t>Dcérske spoločnosti</w:t>
      </w:r>
      <w:r w:rsidR="00685C86" w:rsidRPr="0088338F">
        <w:rPr>
          <w:rFonts w:ascii="Arial" w:hAnsi="Arial" w:cs="Arial"/>
          <w:b/>
          <w:sz w:val="20"/>
          <w:szCs w:val="20"/>
        </w:rPr>
        <w:t xml:space="preserve"> </w:t>
      </w:r>
      <w:r w:rsidR="00C03814" w:rsidRPr="0088338F">
        <w:rPr>
          <w:rFonts w:ascii="Arial" w:hAnsi="Arial" w:cs="Arial"/>
          <w:b/>
          <w:sz w:val="20"/>
          <w:szCs w:val="20"/>
        </w:rPr>
        <w:t>a iné majetkové účasti</w:t>
      </w:r>
    </w:p>
    <w:p w14:paraId="1E542096" w14:textId="77777777" w:rsidR="00265BC7" w:rsidRPr="0088338F" w:rsidRDefault="00265BC7" w:rsidP="00C03814">
      <w:pPr>
        <w:jc w:val="both"/>
        <w:rPr>
          <w:rFonts w:ascii="Arial" w:hAnsi="Arial" w:cs="Arial"/>
          <w:bCs/>
          <w:sz w:val="20"/>
          <w:szCs w:val="20"/>
        </w:rPr>
      </w:pPr>
    </w:p>
    <w:p w14:paraId="1C72CC2C" w14:textId="77777777" w:rsidR="00C03814" w:rsidRPr="0088338F" w:rsidRDefault="00E65A90" w:rsidP="00C03814">
      <w:pPr>
        <w:jc w:val="both"/>
        <w:rPr>
          <w:rFonts w:ascii="Arial" w:hAnsi="Arial" w:cs="Arial"/>
          <w:bCs/>
          <w:sz w:val="20"/>
          <w:szCs w:val="20"/>
        </w:rPr>
      </w:pPr>
      <w:r w:rsidRPr="0088338F">
        <w:rPr>
          <w:rFonts w:ascii="Arial" w:hAnsi="Arial" w:cs="Arial"/>
          <w:bCs/>
          <w:sz w:val="20"/>
          <w:szCs w:val="20"/>
        </w:rPr>
        <w:t>Účtovná závierka</w:t>
      </w:r>
      <w:r w:rsidR="00C03814" w:rsidRPr="0088338F">
        <w:rPr>
          <w:rFonts w:ascii="Arial" w:hAnsi="Arial" w:cs="Arial"/>
          <w:bCs/>
          <w:sz w:val="20"/>
          <w:szCs w:val="20"/>
        </w:rPr>
        <w:t xml:space="preserve"> obsahuj</w:t>
      </w:r>
      <w:r w:rsidRPr="0088338F">
        <w:rPr>
          <w:rFonts w:ascii="Arial" w:hAnsi="Arial" w:cs="Arial"/>
          <w:bCs/>
          <w:sz w:val="20"/>
          <w:szCs w:val="20"/>
        </w:rPr>
        <w:t>e</w:t>
      </w:r>
      <w:r w:rsidR="00C03814" w:rsidRPr="0088338F">
        <w:rPr>
          <w:rFonts w:ascii="Arial" w:hAnsi="Arial" w:cs="Arial"/>
          <w:bCs/>
          <w:sz w:val="20"/>
          <w:szCs w:val="20"/>
        </w:rPr>
        <w:t xml:space="preserve"> výhradne prezentáciu účtov a výsledkov banky.</w:t>
      </w:r>
    </w:p>
    <w:p w14:paraId="7B0F77DE" w14:textId="77777777" w:rsidR="00C03814" w:rsidRPr="0088338F" w:rsidRDefault="00C03814" w:rsidP="00C03814">
      <w:pPr>
        <w:pStyle w:val="StyleLeft1cm"/>
        <w:rPr>
          <w:rFonts w:ascii="Arial" w:hAnsi="Arial" w:cs="Arial"/>
          <w:lang w:val="sk-SK"/>
        </w:rPr>
      </w:pPr>
    </w:p>
    <w:p w14:paraId="1B766F38" w14:textId="77777777" w:rsidR="00C03814" w:rsidRPr="0088338F" w:rsidRDefault="00C03814" w:rsidP="00C03814">
      <w:pPr>
        <w:tabs>
          <w:tab w:val="left" w:pos="0"/>
          <w:tab w:val="right" w:pos="4820"/>
          <w:tab w:val="right" w:pos="6521"/>
          <w:tab w:val="right" w:pos="8222"/>
        </w:tabs>
        <w:jc w:val="both"/>
        <w:rPr>
          <w:rFonts w:ascii="Arial" w:hAnsi="Arial" w:cs="Arial"/>
          <w:bCs/>
          <w:i/>
          <w:sz w:val="20"/>
          <w:szCs w:val="20"/>
        </w:rPr>
      </w:pPr>
      <w:r w:rsidRPr="0088338F">
        <w:rPr>
          <w:rFonts w:ascii="Arial" w:hAnsi="Arial" w:cs="Arial"/>
          <w:bCs/>
          <w:i/>
          <w:sz w:val="20"/>
          <w:szCs w:val="20"/>
        </w:rPr>
        <w:t>Dcérske spoločnosti</w:t>
      </w:r>
    </w:p>
    <w:p w14:paraId="29957CA7" w14:textId="77777777" w:rsidR="00C03814" w:rsidRPr="0088338F" w:rsidRDefault="00C03814" w:rsidP="00C03814">
      <w:pPr>
        <w:tabs>
          <w:tab w:val="left" w:pos="0"/>
          <w:tab w:val="right" w:pos="4820"/>
          <w:tab w:val="right" w:pos="6521"/>
          <w:tab w:val="right" w:pos="8222"/>
        </w:tabs>
        <w:jc w:val="both"/>
        <w:rPr>
          <w:rFonts w:ascii="Arial" w:hAnsi="Arial" w:cs="Arial"/>
          <w:bCs/>
          <w:sz w:val="20"/>
          <w:szCs w:val="20"/>
        </w:rPr>
      </w:pPr>
      <w:r w:rsidRPr="0088338F">
        <w:rPr>
          <w:rFonts w:ascii="Arial" w:hAnsi="Arial" w:cs="Arial"/>
          <w:bCs/>
          <w:sz w:val="20"/>
          <w:szCs w:val="20"/>
        </w:rPr>
        <w:t>Investície do dcérskych spoločností zahŕňajú priame alebo nepriame investície banky do spoločností prevyšujúce 50 % ich základného imania, alebo do spoločností, v ktorých banka môže uplatniť vyše 50-percentný podiel na hlasovacích právach, alebo kde banka môže vymenovať alebo odvolať väčšinu členov predstavenstva alebo dozornej rady, alebo kde má iné prostriedky</w:t>
      </w:r>
      <w:r w:rsidR="003A04D4" w:rsidRPr="0088338F">
        <w:rPr>
          <w:rFonts w:ascii="Arial" w:hAnsi="Arial" w:cs="Arial"/>
          <w:bCs/>
          <w:sz w:val="20"/>
          <w:szCs w:val="20"/>
        </w:rPr>
        <w:t>,</w:t>
      </w:r>
      <w:r w:rsidRPr="0088338F">
        <w:rPr>
          <w:rFonts w:ascii="Arial" w:hAnsi="Arial" w:cs="Arial"/>
          <w:bCs/>
          <w:sz w:val="20"/>
          <w:szCs w:val="20"/>
        </w:rPr>
        <w:t xml:space="preserve"> ako riadiť finančné a prevádzkové zásady subjektu, aby získala zo svojich činností úžitok.  </w:t>
      </w:r>
    </w:p>
    <w:p w14:paraId="66DBED2E" w14:textId="77777777" w:rsidR="00C03814" w:rsidRPr="0088338F" w:rsidRDefault="00C03814" w:rsidP="00C03814">
      <w:pPr>
        <w:tabs>
          <w:tab w:val="left" w:pos="0"/>
          <w:tab w:val="right" w:pos="4820"/>
          <w:tab w:val="right" w:pos="6521"/>
          <w:tab w:val="right" w:pos="8222"/>
        </w:tabs>
        <w:jc w:val="both"/>
        <w:rPr>
          <w:rFonts w:ascii="Arial" w:hAnsi="Arial" w:cs="Arial"/>
          <w:bCs/>
          <w:sz w:val="20"/>
          <w:szCs w:val="20"/>
        </w:rPr>
      </w:pPr>
    </w:p>
    <w:p w14:paraId="4A740F7C" w14:textId="4B98A9F5" w:rsidR="008F40D7" w:rsidRPr="0088338F" w:rsidRDefault="00C03814" w:rsidP="008F40D7">
      <w:pPr>
        <w:jc w:val="both"/>
        <w:rPr>
          <w:rFonts w:ascii="Arial" w:hAnsi="Arial" w:cs="Arial"/>
          <w:sz w:val="20"/>
        </w:rPr>
      </w:pPr>
      <w:r w:rsidRPr="0088338F">
        <w:rPr>
          <w:rFonts w:ascii="Arial" w:hAnsi="Arial" w:cs="Arial"/>
          <w:sz w:val="20"/>
        </w:rPr>
        <w:t>Dcérske spoločnosti sú oceňované obstarávacou cenou zníženou o opravné položky z titulu znehodnotenia.</w:t>
      </w:r>
    </w:p>
    <w:p w14:paraId="3ABCEFA0" w14:textId="77777777" w:rsidR="008544EC" w:rsidRPr="0088338F" w:rsidRDefault="008544EC" w:rsidP="008F40D7">
      <w:pPr>
        <w:jc w:val="both"/>
        <w:rPr>
          <w:rFonts w:ascii="Arial" w:hAnsi="Arial" w:cs="Arial"/>
          <w:bCs/>
          <w:i/>
          <w:sz w:val="20"/>
          <w:szCs w:val="20"/>
        </w:rPr>
      </w:pPr>
    </w:p>
    <w:p w14:paraId="4E133BF7" w14:textId="7CEA7AC0" w:rsidR="00C03814" w:rsidRPr="0088338F" w:rsidRDefault="00C03814" w:rsidP="00C03814">
      <w:pPr>
        <w:tabs>
          <w:tab w:val="left" w:pos="0"/>
          <w:tab w:val="right" w:pos="4820"/>
          <w:tab w:val="right" w:pos="6521"/>
          <w:tab w:val="right" w:pos="8222"/>
        </w:tabs>
        <w:jc w:val="both"/>
        <w:rPr>
          <w:rFonts w:ascii="Arial" w:hAnsi="Arial" w:cs="Arial"/>
          <w:bCs/>
          <w:i/>
          <w:sz w:val="20"/>
          <w:szCs w:val="20"/>
        </w:rPr>
      </w:pPr>
      <w:r w:rsidRPr="0088338F">
        <w:rPr>
          <w:rFonts w:ascii="Arial" w:hAnsi="Arial" w:cs="Arial"/>
          <w:bCs/>
          <w:i/>
          <w:sz w:val="20"/>
          <w:szCs w:val="20"/>
        </w:rPr>
        <w:t xml:space="preserve">Iné majetkové účasti </w:t>
      </w:r>
    </w:p>
    <w:p w14:paraId="52F04527" w14:textId="77777777" w:rsidR="00C03814" w:rsidRPr="0088338F" w:rsidRDefault="00C03814" w:rsidP="00C03814">
      <w:pPr>
        <w:tabs>
          <w:tab w:val="left" w:pos="0"/>
          <w:tab w:val="right" w:pos="4820"/>
          <w:tab w:val="right" w:pos="6521"/>
          <w:tab w:val="right" w:pos="8222"/>
        </w:tabs>
        <w:jc w:val="both"/>
        <w:rPr>
          <w:rFonts w:ascii="Arial" w:hAnsi="Arial" w:cs="Arial"/>
          <w:bCs/>
          <w:sz w:val="20"/>
          <w:szCs w:val="20"/>
        </w:rPr>
      </w:pPr>
      <w:r w:rsidRPr="0088338F">
        <w:rPr>
          <w:rFonts w:ascii="Arial" w:hAnsi="Arial" w:cs="Arial"/>
          <w:bCs/>
          <w:sz w:val="20"/>
          <w:szCs w:val="20"/>
        </w:rPr>
        <w:t xml:space="preserve">Iné majetkové účasti predstavujú investície s menej ako 20-percentným podielom na základnom imaní a hlasovacích právach. Tieto investície sa oceňujú pomocou modelu reálnej hodnoty platného pre cenné papiere na predaj. Investície, pre ktoré nie sú k dispozícii kótované trhové ceny na aktívnom trhu, a investície, ktorých reálnu hodnotu nemožno spoľahlivo určiť, sa účtujú v cene obstarania. </w:t>
      </w:r>
    </w:p>
    <w:p w14:paraId="6699BB83" w14:textId="77777777" w:rsidR="00885CDA" w:rsidRPr="0088338F" w:rsidRDefault="00885CDA" w:rsidP="00D6133E">
      <w:pPr>
        <w:jc w:val="both"/>
        <w:rPr>
          <w:rFonts w:ascii="Arial" w:hAnsi="Arial" w:cs="Arial"/>
          <w:sz w:val="20"/>
        </w:rPr>
      </w:pPr>
    </w:p>
    <w:p w14:paraId="1321C03D" w14:textId="77777777" w:rsidR="008F40D7" w:rsidRPr="0088338F" w:rsidRDefault="008F40D7" w:rsidP="00D6133E">
      <w:pPr>
        <w:jc w:val="both"/>
        <w:rPr>
          <w:rFonts w:ascii="Arial" w:hAnsi="Arial" w:cs="Arial"/>
          <w:sz w:val="20"/>
        </w:rPr>
      </w:pPr>
    </w:p>
    <w:p w14:paraId="32BB8255" w14:textId="76A7818C" w:rsidR="00BB7E51" w:rsidRPr="0088338F" w:rsidRDefault="00A17B0F" w:rsidP="00A17B0F">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w:t>
      </w:r>
      <w:r w:rsidR="004458D0" w:rsidRPr="0088338F">
        <w:rPr>
          <w:rFonts w:ascii="Arial" w:hAnsi="Arial" w:cs="Arial"/>
          <w:b/>
          <w:sz w:val="20"/>
          <w:szCs w:val="20"/>
        </w:rPr>
        <w:t>16</w:t>
      </w:r>
      <w:r w:rsidRPr="0088338F">
        <w:rPr>
          <w:rFonts w:ascii="Arial" w:hAnsi="Arial" w:cs="Arial"/>
          <w:b/>
          <w:sz w:val="20"/>
          <w:szCs w:val="20"/>
        </w:rPr>
        <w:t xml:space="preserve">) </w:t>
      </w:r>
      <w:r w:rsidR="00BB7E51" w:rsidRPr="0088338F">
        <w:rPr>
          <w:rFonts w:ascii="Arial" w:hAnsi="Arial" w:cs="Arial"/>
          <w:b/>
          <w:sz w:val="20"/>
          <w:szCs w:val="20"/>
        </w:rPr>
        <w:t>Operácie s cennými papiermi pre klientov</w:t>
      </w:r>
    </w:p>
    <w:p w14:paraId="5E83C660" w14:textId="07BF973E" w:rsidR="00BB7E51" w:rsidRPr="0088338F" w:rsidRDefault="00BB7E51" w:rsidP="00D6133E">
      <w:pPr>
        <w:jc w:val="both"/>
        <w:rPr>
          <w:rFonts w:ascii="Arial" w:hAnsi="Arial" w:cs="Arial"/>
          <w:sz w:val="20"/>
        </w:rPr>
      </w:pPr>
      <w:r w:rsidRPr="0088338F">
        <w:rPr>
          <w:rFonts w:ascii="Arial" w:hAnsi="Arial" w:cs="Arial"/>
          <w:sz w:val="20"/>
        </w:rPr>
        <w:t>Cenné papiere prijaté bankou do úschovy</w:t>
      </w:r>
      <w:r w:rsidR="00857CD1" w:rsidRPr="0088338F">
        <w:rPr>
          <w:rFonts w:ascii="Arial" w:hAnsi="Arial" w:cs="Arial"/>
          <w:sz w:val="20"/>
        </w:rPr>
        <w:t xml:space="preserve"> </w:t>
      </w:r>
      <w:r w:rsidRPr="0088338F">
        <w:rPr>
          <w:rFonts w:ascii="Arial" w:hAnsi="Arial" w:cs="Arial"/>
          <w:sz w:val="20"/>
        </w:rPr>
        <w:t>sú účtované v menovitej hodnote v podsúvahe. Cenné papiere prevzaté bankou na riadenie sa účtujú v reálnej hodnote v podsúvahe. V súvahe sú v</w:t>
      </w:r>
      <w:r w:rsidR="00617929" w:rsidRPr="0088338F">
        <w:rPr>
          <w:rFonts w:ascii="Arial" w:hAnsi="Arial" w:cs="Arial"/>
          <w:sz w:val="20"/>
        </w:rPr>
        <w:t> položke „</w:t>
      </w:r>
      <w:r w:rsidR="00C940D2" w:rsidRPr="0088338F">
        <w:rPr>
          <w:rFonts w:ascii="Arial" w:hAnsi="Arial" w:cs="Arial"/>
          <w:sz w:val="20"/>
        </w:rPr>
        <w:t>Z</w:t>
      </w:r>
      <w:r w:rsidR="00617929" w:rsidRPr="0088338F">
        <w:rPr>
          <w:rFonts w:ascii="Arial" w:hAnsi="Arial" w:cs="Arial"/>
          <w:sz w:val="20"/>
        </w:rPr>
        <w:t>áväzky</w:t>
      </w:r>
      <w:r w:rsidR="00C940D2" w:rsidRPr="0088338F">
        <w:rPr>
          <w:rFonts w:ascii="Arial" w:hAnsi="Arial" w:cs="Arial"/>
          <w:sz w:val="20"/>
        </w:rPr>
        <w:t xml:space="preserve"> voči klientom</w:t>
      </w:r>
      <w:r w:rsidR="00617929" w:rsidRPr="0088338F">
        <w:rPr>
          <w:rFonts w:ascii="Arial" w:hAnsi="Arial" w:cs="Arial"/>
          <w:sz w:val="20"/>
        </w:rPr>
        <w:t>“</w:t>
      </w:r>
      <w:r w:rsidRPr="0088338F">
        <w:rPr>
          <w:rFonts w:ascii="Arial" w:hAnsi="Arial" w:cs="Arial"/>
          <w:sz w:val="20"/>
        </w:rPr>
        <w:t xml:space="preserve"> účtované záväzky banky voči klientom hlavne z dôvodu prijatej hotovosti určenej na nákup cenných papierov, hotovosti určenej na vrátenie klientovi atď.</w:t>
      </w:r>
    </w:p>
    <w:p w14:paraId="005E465E" w14:textId="77777777" w:rsidR="00A5134A" w:rsidRPr="0088338F" w:rsidRDefault="00A5134A" w:rsidP="00D6133E">
      <w:pPr>
        <w:jc w:val="both"/>
        <w:rPr>
          <w:rFonts w:ascii="Arial" w:hAnsi="Arial" w:cs="Arial"/>
          <w:sz w:val="20"/>
        </w:rPr>
      </w:pPr>
    </w:p>
    <w:p w14:paraId="10D898B0" w14:textId="77777777" w:rsidR="008F40D7" w:rsidRPr="0088338F" w:rsidRDefault="008F40D7" w:rsidP="00D6133E">
      <w:pPr>
        <w:jc w:val="both"/>
        <w:rPr>
          <w:rFonts w:ascii="Arial" w:hAnsi="Arial" w:cs="Arial"/>
          <w:sz w:val="20"/>
        </w:rPr>
      </w:pPr>
    </w:p>
    <w:p w14:paraId="3BBE306F" w14:textId="77777777" w:rsidR="00A5134A" w:rsidRPr="0088338F" w:rsidRDefault="00A5134A" w:rsidP="00A5134A">
      <w:pPr>
        <w:tabs>
          <w:tab w:val="left" w:pos="0"/>
          <w:tab w:val="right" w:pos="4820"/>
          <w:tab w:val="right" w:pos="6521"/>
          <w:tab w:val="right" w:pos="8222"/>
        </w:tabs>
        <w:jc w:val="both"/>
        <w:rPr>
          <w:rFonts w:ascii="Arial" w:hAnsi="Arial" w:cs="Arial"/>
          <w:b/>
          <w:sz w:val="20"/>
          <w:szCs w:val="20"/>
        </w:rPr>
      </w:pPr>
      <w:r w:rsidRPr="0088338F">
        <w:rPr>
          <w:rFonts w:ascii="Arial" w:hAnsi="Arial" w:cs="Arial"/>
          <w:b/>
          <w:sz w:val="20"/>
          <w:szCs w:val="20"/>
        </w:rPr>
        <w:t>(</w:t>
      </w:r>
      <w:r w:rsidR="004458D0" w:rsidRPr="0088338F">
        <w:rPr>
          <w:rFonts w:ascii="Arial" w:hAnsi="Arial" w:cs="Arial"/>
          <w:b/>
          <w:sz w:val="20"/>
          <w:szCs w:val="20"/>
        </w:rPr>
        <w:t>17</w:t>
      </w:r>
      <w:r w:rsidRPr="0088338F">
        <w:rPr>
          <w:rFonts w:ascii="Arial" w:hAnsi="Arial" w:cs="Arial"/>
          <w:b/>
          <w:sz w:val="20"/>
          <w:szCs w:val="20"/>
        </w:rPr>
        <w:t>) Požiadavky regulačných orgánov</w:t>
      </w:r>
    </w:p>
    <w:p w14:paraId="0A54D338" w14:textId="77777777" w:rsidR="00A5134A" w:rsidRPr="0088338F" w:rsidRDefault="00A5134A" w:rsidP="00A5134A">
      <w:pPr>
        <w:jc w:val="both"/>
        <w:rPr>
          <w:rFonts w:ascii="Arial" w:hAnsi="Arial" w:cs="Arial"/>
          <w:sz w:val="20"/>
        </w:rPr>
      </w:pPr>
      <w:r w:rsidRPr="0088338F">
        <w:rPr>
          <w:rFonts w:ascii="Arial" w:hAnsi="Arial" w:cs="Arial"/>
          <w:sz w:val="20"/>
        </w:rPr>
        <w:t xml:space="preserve">Banka musí spĺňať regulačné požiadavky centrálnej banky. Patria medzi ne požiadavky týkajúce sa kapitálovej primeranosti, kategorizácie úverov a podsúvahových záväzkov, koncentrácie majetku, úverových rizík týkajúcich sa klientov banky, likvidity, úrokových sadzieb a menovej pozície. </w:t>
      </w:r>
    </w:p>
    <w:p w14:paraId="7337B261" w14:textId="77777777" w:rsidR="00586D06" w:rsidRPr="0088338F" w:rsidRDefault="00586D06" w:rsidP="00A5134A">
      <w:pPr>
        <w:jc w:val="both"/>
        <w:rPr>
          <w:rFonts w:ascii="Arial" w:hAnsi="Arial" w:cs="Arial"/>
          <w:sz w:val="20"/>
        </w:rPr>
      </w:pPr>
    </w:p>
    <w:p w14:paraId="3AC3256E" w14:textId="77777777" w:rsidR="00FA6396" w:rsidRPr="0088338F" w:rsidRDefault="00FA6396" w:rsidP="00A5134A">
      <w:pPr>
        <w:jc w:val="both"/>
        <w:rPr>
          <w:rFonts w:ascii="Arial" w:hAnsi="Arial" w:cs="Arial"/>
          <w:sz w:val="20"/>
        </w:rPr>
      </w:pPr>
    </w:p>
    <w:p w14:paraId="7FE79AD3" w14:textId="5AF7CB35" w:rsidR="008E6838" w:rsidRPr="0088338F" w:rsidRDefault="008E6838">
      <w:pPr>
        <w:rPr>
          <w:rFonts w:ascii="Arial" w:hAnsi="Arial" w:cs="Arial"/>
          <w:b/>
          <w:caps/>
          <w:sz w:val="20"/>
          <w:szCs w:val="20"/>
        </w:rPr>
      </w:pPr>
    </w:p>
    <w:p w14:paraId="758FEC5B" w14:textId="77777777" w:rsidR="00A5134A" w:rsidRPr="0088338F" w:rsidRDefault="00A5134A" w:rsidP="00A5134A">
      <w:pPr>
        <w:jc w:val="both"/>
        <w:rPr>
          <w:rFonts w:ascii="Arial" w:hAnsi="Arial" w:cs="Arial"/>
          <w:sz w:val="20"/>
        </w:rPr>
      </w:pPr>
    </w:p>
    <w:p w14:paraId="2D6B63C2" w14:textId="77777777" w:rsidR="00374D29" w:rsidRPr="0088338F" w:rsidRDefault="00374D29" w:rsidP="00A5134A">
      <w:pPr>
        <w:tabs>
          <w:tab w:val="left" w:pos="567"/>
        </w:tabs>
        <w:jc w:val="both"/>
        <w:rPr>
          <w:rFonts w:ascii="Arial" w:hAnsi="Arial" w:cs="Arial"/>
          <w:b/>
          <w:caps/>
          <w:sz w:val="20"/>
          <w:szCs w:val="20"/>
        </w:rPr>
        <w:sectPr w:rsidR="00374D29" w:rsidRPr="0088338F" w:rsidSect="00C219AA">
          <w:headerReference w:type="default" r:id="rId27"/>
          <w:pgSz w:w="11906" w:h="16838"/>
          <w:pgMar w:top="1417" w:right="1417" w:bottom="993" w:left="1417" w:header="708" w:footer="708" w:gutter="0"/>
          <w:cols w:space="708"/>
          <w:docGrid w:linePitch="360"/>
        </w:sectPr>
      </w:pPr>
    </w:p>
    <w:p w14:paraId="5CF0AC93" w14:textId="77777777" w:rsidR="002F5167" w:rsidRPr="0088338F" w:rsidRDefault="002F5167" w:rsidP="002F516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lastRenderedPageBreak/>
        <w:t>vykazovanie vybraných aktív podľa zemepisných oblastí</w:t>
      </w:r>
    </w:p>
    <w:p w14:paraId="6F3B9C86" w14:textId="77777777" w:rsidR="002F5167" w:rsidRPr="0088338F" w:rsidRDefault="002F5167" w:rsidP="00423109">
      <w:pPr>
        <w:jc w:val="both"/>
        <w:rPr>
          <w:rFonts w:ascii="Arial" w:hAnsi="Arial" w:cs="Arial"/>
          <w:sz w:val="20"/>
          <w:szCs w:val="20"/>
        </w:rPr>
      </w:pPr>
    </w:p>
    <w:p w14:paraId="0BDED755" w14:textId="32AF0A04" w:rsidR="00506B09" w:rsidRPr="0088338F" w:rsidRDefault="00506B09" w:rsidP="00423109">
      <w:pPr>
        <w:jc w:val="both"/>
        <w:rPr>
          <w:rFonts w:ascii="Arial" w:hAnsi="Arial" w:cs="Arial"/>
          <w:sz w:val="20"/>
          <w:szCs w:val="20"/>
        </w:rPr>
      </w:pPr>
      <w:r w:rsidRPr="0088338F">
        <w:rPr>
          <w:rFonts w:ascii="Arial" w:hAnsi="Arial" w:cs="Arial"/>
          <w:sz w:val="20"/>
          <w:szCs w:val="20"/>
        </w:rPr>
        <w:t>V nasledujúcej tabuľke je uvedené členenie podľa zemepisných oblastí k 31. decembru 20</w:t>
      </w:r>
      <w:r w:rsidR="007E62C3" w:rsidRPr="0088338F">
        <w:rPr>
          <w:rFonts w:ascii="Arial" w:hAnsi="Arial" w:cs="Arial"/>
          <w:sz w:val="20"/>
          <w:szCs w:val="20"/>
        </w:rPr>
        <w:t>1</w:t>
      </w:r>
      <w:r w:rsidR="003C0667" w:rsidRPr="0088338F">
        <w:rPr>
          <w:rFonts w:ascii="Arial" w:hAnsi="Arial" w:cs="Arial"/>
          <w:sz w:val="20"/>
          <w:szCs w:val="20"/>
        </w:rPr>
        <w:t>6</w:t>
      </w:r>
      <w:r w:rsidRPr="0088338F">
        <w:rPr>
          <w:rFonts w:ascii="Arial" w:hAnsi="Arial" w:cs="Arial"/>
          <w:sz w:val="20"/>
          <w:szCs w:val="20"/>
        </w:rPr>
        <w:t>:</w:t>
      </w:r>
    </w:p>
    <w:bookmarkStart w:id="66" w:name="_MON_1392634412"/>
    <w:bookmarkStart w:id="67" w:name="_MON_1392731751"/>
    <w:bookmarkStart w:id="68" w:name="_MON_1394882631"/>
    <w:bookmarkStart w:id="69" w:name="_MON_1395042647"/>
    <w:bookmarkStart w:id="70" w:name="_MON_1395655125"/>
    <w:bookmarkStart w:id="71" w:name="_MON_1395655267"/>
    <w:bookmarkStart w:id="72" w:name="_MON_1395828512"/>
    <w:bookmarkStart w:id="73" w:name="_MON_1395829122"/>
    <w:bookmarkStart w:id="74" w:name="_MON_1395908465"/>
    <w:bookmarkStart w:id="75" w:name="_MON_1395910092"/>
    <w:bookmarkStart w:id="76" w:name="_MON_1424759380"/>
    <w:bookmarkStart w:id="77" w:name="_MON_1426843042"/>
    <w:bookmarkStart w:id="78" w:name="_MON_1426846648"/>
    <w:bookmarkStart w:id="79" w:name="_MON_1426852617"/>
    <w:bookmarkStart w:id="80" w:name="_MON_1430811043"/>
    <w:bookmarkStart w:id="81" w:name="_MON_1434868159"/>
    <w:bookmarkStart w:id="82" w:name="_MON_1434872391"/>
    <w:bookmarkStart w:id="83" w:name="_MON_1434873029"/>
    <w:bookmarkStart w:id="84" w:name="_MON_1434873128"/>
    <w:bookmarkStart w:id="85" w:name="_MON_1434873541"/>
    <w:bookmarkStart w:id="86" w:name="_MON_1434873731"/>
    <w:bookmarkStart w:id="87" w:name="_MON_1434873810"/>
    <w:bookmarkStart w:id="88" w:name="_MON_1434873817"/>
    <w:bookmarkStart w:id="89" w:name="_MON_1434874371"/>
    <w:bookmarkStart w:id="90" w:name="_MON_1434874810"/>
    <w:bookmarkStart w:id="91" w:name="_MON_1434885278"/>
    <w:bookmarkStart w:id="92" w:name="_MON_1441021954"/>
    <w:bookmarkStart w:id="93" w:name="_MON_1441022472"/>
    <w:bookmarkStart w:id="94" w:name="_MON_1442831497"/>
    <w:bookmarkStart w:id="95" w:name="_MON_1442837062"/>
    <w:bookmarkStart w:id="96" w:name="_MON_1442991228"/>
    <w:bookmarkStart w:id="97" w:name="_MON_1442991552"/>
    <w:bookmarkStart w:id="98" w:name="_MON_1446449888"/>
    <w:bookmarkStart w:id="99" w:name="_MON_1451136360"/>
    <w:bookmarkStart w:id="100" w:name="_MON_1451136458"/>
    <w:bookmarkStart w:id="101" w:name="_MON_1451205163"/>
    <w:bookmarkStart w:id="102" w:name="_MON_1451717375"/>
    <w:bookmarkStart w:id="103" w:name="_MON_1454139492"/>
    <w:bookmarkStart w:id="104" w:name="_MON_1454218434"/>
    <w:bookmarkStart w:id="105" w:name="_MON_1454307302"/>
    <w:bookmarkStart w:id="106" w:name="_MON_1456738648"/>
    <w:bookmarkStart w:id="107" w:name="_MON_1458623788"/>
    <w:bookmarkStart w:id="108" w:name="_MON_1458623823"/>
    <w:bookmarkStart w:id="109" w:name="_MON_1458623878"/>
    <w:bookmarkStart w:id="110" w:name="_MON_1458623888"/>
    <w:bookmarkStart w:id="111" w:name="_MON_1458623920"/>
    <w:bookmarkStart w:id="112" w:name="_MON_1458623954"/>
    <w:bookmarkStart w:id="113" w:name="_MON_1458623964"/>
    <w:bookmarkStart w:id="114" w:name="_MON_1458624214"/>
    <w:bookmarkStart w:id="115" w:name="_MON_1458624410"/>
    <w:bookmarkStart w:id="116" w:name="_MON_1458624669"/>
    <w:bookmarkStart w:id="117" w:name="_MON_1458625707"/>
    <w:bookmarkStart w:id="118" w:name="_MON_1458727154"/>
    <w:bookmarkStart w:id="119" w:name="_MON_1461476840"/>
    <w:bookmarkStart w:id="120" w:name="_MON_1466411195"/>
    <w:bookmarkStart w:id="121" w:name="_MON_1466417923"/>
    <w:bookmarkStart w:id="122" w:name="_MON_1474347380"/>
    <w:bookmarkStart w:id="123" w:name="_MON_1474347571"/>
    <w:bookmarkStart w:id="124" w:name="_MON_1474348313"/>
    <w:bookmarkStart w:id="125" w:name="_MON_1474348870"/>
    <w:bookmarkStart w:id="126" w:name="_MON_1364196343"/>
    <w:bookmarkStart w:id="127" w:name="_MON_1364196691"/>
    <w:bookmarkStart w:id="128" w:name="_MON_1364461834"/>
    <w:bookmarkStart w:id="129" w:name="_MON_1372255420"/>
    <w:bookmarkStart w:id="130" w:name="_MON_1380089993"/>
    <w:bookmarkStart w:id="131" w:name="_MON_1380105773"/>
    <w:bookmarkStart w:id="132" w:name="_MON_1387447378"/>
    <w:bookmarkStart w:id="133" w:name="_MON_1387706414"/>
    <w:bookmarkStart w:id="134" w:name="_MON_1387708288"/>
    <w:bookmarkStart w:id="135" w:name="_MON_1387708371"/>
    <w:bookmarkStart w:id="136" w:name="_MON_1387708622"/>
    <w:bookmarkStart w:id="137" w:name="_MON_1387713592"/>
    <w:bookmarkStart w:id="138" w:name="_MON_1387715504"/>
    <w:bookmarkStart w:id="139" w:name="_MON_1387715984"/>
    <w:bookmarkStart w:id="140" w:name="_MON_1387716733"/>
    <w:bookmarkStart w:id="141" w:name="_MON_1387716917"/>
    <w:bookmarkStart w:id="142" w:name="_MON_1387717054"/>
    <w:bookmarkStart w:id="143" w:name="_MON_1387717938"/>
    <w:bookmarkStart w:id="144" w:name="_MON_1387717977"/>
    <w:bookmarkStart w:id="145" w:name="_MON_1387718072"/>
    <w:bookmarkStart w:id="146" w:name="_MON_1388505452"/>
    <w:bookmarkStart w:id="147" w:name="_MON_1389876683"/>
    <w:bookmarkStart w:id="148" w:name="_MON_1389876707"/>
    <w:bookmarkStart w:id="149" w:name="_MON_1390649738"/>
    <w:bookmarkStart w:id="150" w:name="_MON_1390649852"/>
    <w:bookmarkStart w:id="151" w:name="_MON_1390713849"/>
    <w:bookmarkStart w:id="152" w:name="_MON_1390745846"/>
    <w:bookmarkStart w:id="153" w:name="_MON_1390904598"/>
    <w:bookmarkStart w:id="154" w:name="_MON_1390970900"/>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Start w:id="155" w:name="_MON_1392633716"/>
    <w:bookmarkEnd w:id="155"/>
    <w:p w14:paraId="7EF780C9" w14:textId="1A71E678" w:rsidR="006552F6" w:rsidRPr="0088338F" w:rsidRDefault="00FE2437" w:rsidP="00423109">
      <w:pPr>
        <w:jc w:val="both"/>
        <w:rPr>
          <w:rFonts w:ascii="Arial" w:hAnsi="Arial" w:cs="Arial"/>
          <w:sz w:val="20"/>
          <w:szCs w:val="20"/>
          <w:lang w:val="en-GB"/>
        </w:rPr>
      </w:pPr>
      <w:r w:rsidRPr="0088338F">
        <w:rPr>
          <w:rFonts w:ascii="Arial" w:hAnsi="Arial" w:cs="Arial"/>
          <w:sz w:val="20"/>
          <w:szCs w:val="20"/>
        </w:rPr>
        <w:object w:dxaOrig="16960" w:dyaOrig="6218" w14:anchorId="7044EE4B">
          <v:shape id="_x0000_i1027" type="#_x0000_t75" style="width:801.6pt;height:309pt" o:ole="" o:preferrelative="f">
            <v:imagedata r:id="rId28" o:title=""/>
            <o:lock v:ext="edit" aspectratio="f"/>
          </v:shape>
          <o:OLEObject Type="Embed" ProgID="Excel.Sheet.8" ShapeID="_x0000_i1027" DrawAspect="Content" ObjectID="_1551591528" r:id="rId29"/>
        </w:object>
      </w:r>
    </w:p>
    <w:p w14:paraId="4B2FD3D0" w14:textId="3CFF2C76" w:rsidR="0058294A" w:rsidRPr="0088338F" w:rsidRDefault="007B7908" w:rsidP="0058294A">
      <w:pPr>
        <w:jc w:val="both"/>
        <w:rPr>
          <w:rFonts w:ascii="Arial" w:hAnsi="Arial" w:cs="Arial"/>
          <w:sz w:val="20"/>
          <w:szCs w:val="20"/>
        </w:rPr>
      </w:pPr>
      <w:r w:rsidRPr="0088338F">
        <w:rPr>
          <w:rFonts w:ascii="Arial" w:hAnsi="Arial" w:cs="Arial"/>
          <w:sz w:val="20"/>
          <w:szCs w:val="20"/>
        </w:rPr>
        <w:br w:type="page"/>
      </w:r>
      <w:r w:rsidR="0058294A" w:rsidRPr="0088338F">
        <w:rPr>
          <w:rFonts w:ascii="Arial" w:hAnsi="Arial" w:cs="Arial"/>
          <w:sz w:val="20"/>
          <w:szCs w:val="20"/>
        </w:rPr>
        <w:lastRenderedPageBreak/>
        <w:t>V nasledujúcej tabuľke je uvedené členenie podľa zemepisných oblastí k 31. decembru 20</w:t>
      </w:r>
      <w:r w:rsidR="00005351" w:rsidRPr="0088338F">
        <w:rPr>
          <w:rFonts w:ascii="Arial" w:hAnsi="Arial" w:cs="Arial"/>
          <w:sz w:val="20"/>
          <w:szCs w:val="20"/>
        </w:rPr>
        <w:t>1</w:t>
      </w:r>
      <w:r w:rsidR="003C0667" w:rsidRPr="0088338F">
        <w:rPr>
          <w:rFonts w:ascii="Arial" w:hAnsi="Arial" w:cs="Arial"/>
          <w:sz w:val="20"/>
          <w:szCs w:val="20"/>
        </w:rPr>
        <w:t>5</w:t>
      </w:r>
      <w:r w:rsidR="0058294A" w:rsidRPr="0088338F">
        <w:rPr>
          <w:rFonts w:ascii="Arial" w:hAnsi="Arial" w:cs="Arial"/>
          <w:sz w:val="20"/>
          <w:szCs w:val="20"/>
        </w:rPr>
        <w:t>:</w:t>
      </w:r>
    </w:p>
    <w:p w14:paraId="04DDBFBD" w14:textId="7354F7AA" w:rsidR="006552F6" w:rsidRPr="0088338F" w:rsidRDefault="003C0667" w:rsidP="006552F6">
      <w:pPr>
        <w:jc w:val="both"/>
        <w:rPr>
          <w:rFonts w:ascii="Arial" w:hAnsi="Arial" w:cs="Arial"/>
          <w:sz w:val="20"/>
          <w:szCs w:val="20"/>
        </w:rPr>
      </w:pPr>
      <w:r w:rsidRPr="0088338F">
        <w:rPr>
          <w:rFonts w:ascii="Arial" w:hAnsi="Arial" w:cs="Arial"/>
          <w:sz w:val="20"/>
          <w:szCs w:val="20"/>
        </w:rPr>
        <w:object w:dxaOrig="16072" w:dyaOrig="7151" w14:anchorId="3ED7AEAD">
          <v:shape id="_x0000_i1028" type="#_x0000_t75" style="width:759.6pt;height:354.6pt" o:ole="" o:preferrelative="f">
            <v:imagedata r:id="rId30" o:title=""/>
            <o:lock v:ext="edit" aspectratio="f"/>
          </v:shape>
          <o:OLEObject Type="Embed" ProgID="Excel.Sheet.8" ShapeID="_x0000_i1028" DrawAspect="Content" ObjectID="_1551591529" r:id="rId31"/>
        </w:object>
      </w:r>
    </w:p>
    <w:p w14:paraId="4A115BB9" w14:textId="499C82AF" w:rsidR="00374D29" w:rsidRPr="0088338F" w:rsidRDefault="00374D29" w:rsidP="00423109">
      <w:pPr>
        <w:jc w:val="both"/>
        <w:rPr>
          <w:rFonts w:ascii="Arial" w:hAnsi="Arial" w:cs="Arial"/>
          <w:sz w:val="20"/>
          <w:szCs w:val="20"/>
        </w:rPr>
      </w:pPr>
    </w:p>
    <w:p w14:paraId="16F8AC8A" w14:textId="77777777" w:rsidR="00374D29" w:rsidRPr="0088338F" w:rsidRDefault="00374D29" w:rsidP="00374D29">
      <w:pPr>
        <w:tabs>
          <w:tab w:val="left" w:pos="567"/>
        </w:tabs>
        <w:jc w:val="both"/>
        <w:rPr>
          <w:rFonts w:ascii="Arial" w:hAnsi="Arial" w:cs="Arial"/>
          <w:b/>
          <w:caps/>
          <w:sz w:val="20"/>
          <w:szCs w:val="20"/>
        </w:rPr>
        <w:sectPr w:rsidR="00374D29" w:rsidRPr="0088338F" w:rsidSect="00A72534">
          <w:footerReference w:type="default" r:id="rId32"/>
          <w:pgSz w:w="16838" w:h="11906" w:orient="landscape" w:code="9"/>
          <w:pgMar w:top="964" w:right="1418" w:bottom="851" w:left="1418" w:header="709" w:footer="709" w:gutter="0"/>
          <w:cols w:space="708"/>
          <w:docGrid w:linePitch="360"/>
        </w:sectPr>
      </w:pPr>
    </w:p>
    <w:p w14:paraId="5CFFE5ED" w14:textId="77777777" w:rsidR="009355B6" w:rsidRPr="0088338F" w:rsidRDefault="00537A01"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lastRenderedPageBreak/>
        <w:t>peniaze a pohľadávky voči centrálnym bankám</w:t>
      </w:r>
    </w:p>
    <w:p w14:paraId="60248CFD" w14:textId="77777777" w:rsidR="00855734" w:rsidRPr="0088338F" w:rsidRDefault="00855734" w:rsidP="003C18A9">
      <w:pPr>
        <w:jc w:val="both"/>
        <w:rPr>
          <w:rFonts w:ascii="Arial" w:hAnsi="Arial" w:cs="Arial"/>
          <w:sz w:val="20"/>
          <w:szCs w:val="20"/>
        </w:rPr>
      </w:pPr>
    </w:p>
    <w:bookmarkStart w:id="156" w:name="_MON_1269581572"/>
    <w:bookmarkStart w:id="157" w:name="_MON_1276940894"/>
    <w:bookmarkStart w:id="158" w:name="_MON_1284986169"/>
    <w:bookmarkStart w:id="159" w:name="_MON_1284986238"/>
    <w:bookmarkStart w:id="160" w:name="_MON_1293454863"/>
    <w:bookmarkStart w:id="161" w:name="_MON_1300710325"/>
    <w:bookmarkStart w:id="162" w:name="_MON_1308550847"/>
    <w:bookmarkStart w:id="163" w:name="_MON_1316515183"/>
    <w:bookmarkStart w:id="164" w:name="_MON_1316515231"/>
    <w:bookmarkStart w:id="165" w:name="_MON_1316515256"/>
    <w:bookmarkStart w:id="166" w:name="_MON_1324806243"/>
    <w:bookmarkStart w:id="167" w:name="_MON_1332406036"/>
    <w:bookmarkStart w:id="168" w:name="_MON_1332406101"/>
    <w:bookmarkStart w:id="169" w:name="_MON_1332406131"/>
    <w:bookmarkStart w:id="170" w:name="_MON_1332406167"/>
    <w:bookmarkStart w:id="171" w:name="_MON_1340181981"/>
    <w:bookmarkStart w:id="172" w:name="_MON_1340182009"/>
    <w:bookmarkStart w:id="173" w:name="_MON_1348572149"/>
    <w:bookmarkStart w:id="174" w:name="_MON_1356330690"/>
    <w:bookmarkStart w:id="175" w:name="_MON_1356330729"/>
    <w:bookmarkStart w:id="176" w:name="_MON_1363954711"/>
    <w:bookmarkStart w:id="177" w:name="_MON_1371994208"/>
    <w:bookmarkStart w:id="178" w:name="_MON_1380090100"/>
    <w:bookmarkStart w:id="179" w:name="_MON_1387447608"/>
    <w:bookmarkStart w:id="180" w:name="_MON_1394967580"/>
    <w:bookmarkStart w:id="181" w:name="_MON_1395643778"/>
    <w:bookmarkStart w:id="182" w:name="_MON_1424759560"/>
    <w:bookmarkStart w:id="183" w:name="_MON_1425190328"/>
    <w:bookmarkStart w:id="184" w:name="_MON_1426834651"/>
    <w:bookmarkStart w:id="185" w:name="_MON_1426834703"/>
    <w:bookmarkStart w:id="186" w:name="_MON_1426834728"/>
    <w:bookmarkStart w:id="187" w:name="_MON_1426834890"/>
    <w:bookmarkStart w:id="188" w:name="_MON_1456738750"/>
    <w:bookmarkStart w:id="189" w:name="_MON_1458628071"/>
    <w:bookmarkStart w:id="190" w:name="_MON_1461476917"/>
    <w:bookmarkStart w:id="191" w:name="_MON_1466418731"/>
    <w:bookmarkStart w:id="192" w:name="_MON_1206353606"/>
    <w:bookmarkStart w:id="193" w:name="_MON_1206353781"/>
    <w:bookmarkStart w:id="194" w:name="_MON_1206353966"/>
    <w:bookmarkStart w:id="195" w:name="_MON_1206354530"/>
    <w:bookmarkStart w:id="196" w:name="_MON_1206354595"/>
    <w:bookmarkStart w:id="197" w:name="_MON_1206356254"/>
    <w:bookmarkStart w:id="198" w:name="_MON_1206710907"/>
    <w:bookmarkStart w:id="199" w:name="_MON_1206710920"/>
    <w:bookmarkStart w:id="200" w:name="_MON_1206710949"/>
    <w:bookmarkStart w:id="201" w:name="_MON_1213870810"/>
    <w:bookmarkStart w:id="202" w:name="_MON_1214324346"/>
    <w:bookmarkStart w:id="203" w:name="_MON_1215704135"/>
    <w:bookmarkStart w:id="204" w:name="_MON_1215704249"/>
    <w:bookmarkStart w:id="205" w:name="_MON_1215707293"/>
    <w:bookmarkStart w:id="206" w:name="_MON_1215707368"/>
    <w:bookmarkStart w:id="207" w:name="_MON_1215791998"/>
    <w:bookmarkStart w:id="208" w:name="_MON_1217320529"/>
    <w:bookmarkStart w:id="209" w:name="_MON_1231996224"/>
    <w:bookmarkStart w:id="210" w:name="_MON_1231996575"/>
    <w:bookmarkStart w:id="211" w:name="_MON_1231996667"/>
    <w:bookmarkStart w:id="212" w:name="_MON_1249393653"/>
    <w:bookmarkStart w:id="213" w:name="_MON_1249457223"/>
    <w:bookmarkStart w:id="214" w:name="_MON_1264097586"/>
    <w:bookmarkStart w:id="215" w:name="_MON_1264097812"/>
    <w:bookmarkStart w:id="216" w:name="_MON_1264403733"/>
    <w:bookmarkStart w:id="217" w:name="_MON_1264403965"/>
    <w:bookmarkStart w:id="218" w:name="_MON_1265087333"/>
    <w:bookmarkStart w:id="219" w:name="_MON_1265087353"/>
    <w:bookmarkStart w:id="220" w:name="_MON_1265803007"/>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Start w:id="221" w:name="_MON_1269581447"/>
    <w:bookmarkEnd w:id="221"/>
    <w:p w14:paraId="7541A238" w14:textId="6729C3F3" w:rsidR="009355B6" w:rsidRPr="0088338F" w:rsidRDefault="00812E4D" w:rsidP="003C18A9">
      <w:pPr>
        <w:jc w:val="both"/>
        <w:rPr>
          <w:rFonts w:ascii="Arial" w:hAnsi="Arial" w:cs="Arial"/>
          <w:sz w:val="20"/>
          <w:szCs w:val="20"/>
        </w:rPr>
      </w:pPr>
      <w:r w:rsidRPr="0088338F">
        <w:rPr>
          <w:rFonts w:ascii="Arial" w:hAnsi="Arial" w:cs="Arial"/>
        </w:rPr>
        <w:object w:dxaOrig="9669" w:dyaOrig="1532" w14:anchorId="044E28DA">
          <v:shape id="_x0000_i1029" type="#_x0000_t75" style="width:450.6pt;height:78pt" o:ole="" o:preferrelative="f">
            <v:imagedata r:id="rId33" o:title=""/>
            <o:lock v:ext="edit" aspectratio="f"/>
          </v:shape>
          <o:OLEObject Type="Embed" ProgID="Excel.Sheet.8" ShapeID="_x0000_i1029" DrawAspect="Content" ObjectID="_1551591530" r:id="rId34"/>
        </w:object>
      </w:r>
    </w:p>
    <w:p w14:paraId="71F93627" w14:textId="77777777" w:rsidR="009F1011" w:rsidRPr="0088338F" w:rsidRDefault="009F1011" w:rsidP="003C18A9">
      <w:pPr>
        <w:jc w:val="both"/>
        <w:rPr>
          <w:rFonts w:ascii="Arial" w:hAnsi="Arial" w:cs="Arial"/>
          <w:sz w:val="20"/>
        </w:rPr>
      </w:pPr>
    </w:p>
    <w:p w14:paraId="009F6118" w14:textId="77777777" w:rsidR="002A67B0" w:rsidRPr="0088338F" w:rsidRDefault="002A67B0" w:rsidP="002A67B0">
      <w:pPr>
        <w:jc w:val="both"/>
        <w:rPr>
          <w:rFonts w:ascii="Arial" w:hAnsi="Arial" w:cs="Arial"/>
          <w:sz w:val="20"/>
          <w:szCs w:val="20"/>
        </w:rPr>
      </w:pPr>
      <w:r w:rsidRPr="0088338F">
        <w:rPr>
          <w:rFonts w:ascii="Arial" w:hAnsi="Arial" w:cs="Arial"/>
          <w:sz w:val="20"/>
          <w:szCs w:val="20"/>
        </w:rPr>
        <w:t>Pohľadávky voči centrálnym bankám nie sú z</w:t>
      </w:r>
      <w:r w:rsidR="00E11C87" w:rsidRPr="0088338F">
        <w:rPr>
          <w:rFonts w:ascii="Arial" w:hAnsi="Arial" w:cs="Arial"/>
          <w:sz w:val="20"/>
          <w:szCs w:val="20"/>
        </w:rPr>
        <w:t>abezpečené nijakým spôsobom.</w:t>
      </w:r>
    </w:p>
    <w:p w14:paraId="7D5C90FC" w14:textId="77777777" w:rsidR="00A5134A" w:rsidRPr="0088338F" w:rsidRDefault="00A5134A" w:rsidP="002A67B0">
      <w:pPr>
        <w:jc w:val="both"/>
        <w:rPr>
          <w:rFonts w:ascii="Arial" w:hAnsi="Arial" w:cs="Arial"/>
          <w:sz w:val="20"/>
          <w:szCs w:val="20"/>
        </w:rPr>
      </w:pPr>
    </w:p>
    <w:p w14:paraId="63330763" w14:textId="77777777" w:rsidR="00A5134A" w:rsidRPr="0088338F" w:rsidRDefault="00A5134A" w:rsidP="00E566D4">
      <w:pPr>
        <w:jc w:val="both"/>
        <w:rPr>
          <w:rFonts w:ascii="Arial" w:hAnsi="Arial" w:cs="Arial"/>
          <w:sz w:val="20"/>
          <w:szCs w:val="20"/>
        </w:rPr>
      </w:pPr>
      <w:r w:rsidRPr="0088338F">
        <w:rPr>
          <w:rFonts w:ascii="Arial" w:hAnsi="Arial" w:cs="Arial"/>
          <w:sz w:val="20"/>
          <w:szCs w:val="20"/>
        </w:rPr>
        <w:t>Povinné minimálne rezervy sa vykazujú ako úročené vklady v zmysle opatrení Národnej banky Slovenska. Výška rezervy závisí od objemu vkladov prijatých bankou. Schopnosť banky čerpať rezervu je v zmysle platnej legislatívy obmedzená. Z uvedeného dôvodu nie je vykázaná v položke „Peniaze a pohľadávky voči centrálnym bankám“ na účely zostavenia výkazu o peňažných tokoch (pozri pozn. 3</w:t>
      </w:r>
      <w:r w:rsidR="00FE483B" w:rsidRPr="0088338F">
        <w:rPr>
          <w:rFonts w:ascii="Arial" w:hAnsi="Arial" w:cs="Arial"/>
          <w:sz w:val="20"/>
          <w:szCs w:val="20"/>
        </w:rPr>
        <w:t>4</w:t>
      </w:r>
      <w:r w:rsidRPr="0088338F">
        <w:rPr>
          <w:rFonts w:ascii="Arial" w:hAnsi="Arial" w:cs="Arial"/>
          <w:sz w:val="20"/>
          <w:szCs w:val="20"/>
        </w:rPr>
        <w:t>).</w:t>
      </w:r>
    </w:p>
    <w:p w14:paraId="37AF3F4D" w14:textId="77777777" w:rsidR="00D96D0F" w:rsidRPr="0088338F" w:rsidRDefault="00D96D0F" w:rsidP="002A67B0">
      <w:pPr>
        <w:jc w:val="both"/>
        <w:rPr>
          <w:rFonts w:ascii="Arial" w:hAnsi="Arial" w:cs="Arial"/>
          <w:sz w:val="20"/>
          <w:szCs w:val="20"/>
        </w:rPr>
      </w:pPr>
    </w:p>
    <w:p w14:paraId="591C3ABF" w14:textId="77777777" w:rsidR="00494122" w:rsidRPr="0088338F" w:rsidRDefault="00494122" w:rsidP="002A67B0">
      <w:pPr>
        <w:jc w:val="both"/>
        <w:rPr>
          <w:rFonts w:ascii="Arial" w:hAnsi="Arial" w:cs="Arial"/>
          <w:sz w:val="20"/>
          <w:szCs w:val="20"/>
        </w:rPr>
      </w:pPr>
    </w:p>
    <w:p w14:paraId="2B06A00F" w14:textId="77777777" w:rsidR="002A67B0" w:rsidRPr="0088338F" w:rsidRDefault="002A67B0"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Pohľadávky voči bankám</w:t>
      </w:r>
    </w:p>
    <w:p w14:paraId="38371DCA" w14:textId="77777777" w:rsidR="002A67B0" w:rsidRPr="0088338F" w:rsidRDefault="002A67B0" w:rsidP="003C18A9">
      <w:pPr>
        <w:jc w:val="both"/>
        <w:rPr>
          <w:rFonts w:ascii="Arial" w:hAnsi="Arial" w:cs="Arial"/>
          <w:sz w:val="20"/>
          <w:szCs w:val="20"/>
        </w:rPr>
      </w:pPr>
    </w:p>
    <w:bookmarkStart w:id="222" w:name="_MON_1425190360"/>
    <w:bookmarkStart w:id="223" w:name="_MON_1426835743"/>
    <w:bookmarkStart w:id="224" w:name="_MON_1456738865"/>
    <w:bookmarkStart w:id="225" w:name="_MON_1458628265"/>
    <w:bookmarkStart w:id="226" w:name="_MON_1461476935"/>
    <w:bookmarkStart w:id="227" w:name="_MON_1466418783"/>
    <w:bookmarkStart w:id="228" w:name="_MON_1380090180"/>
    <w:bookmarkStart w:id="229" w:name="_MON_1387447649"/>
    <w:bookmarkStart w:id="230" w:name="_MON_1394968418"/>
    <w:bookmarkStart w:id="231" w:name="_MON_1394968462"/>
    <w:bookmarkStart w:id="232" w:name="_MON_1395643887"/>
    <w:bookmarkEnd w:id="222"/>
    <w:bookmarkEnd w:id="223"/>
    <w:bookmarkEnd w:id="224"/>
    <w:bookmarkEnd w:id="225"/>
    <w:bookmarkEnd w:id="226"/>
    <w:bookmarkEnd w:id="227"/>
    <w:bookmarkEnd w:id="228"/>
    <w:bookmarkEnd w:id="229"/>
    <w:bookmarkEnd w:id="230"/>
    <w:bookmarkEnd w:id="231"/>
    <w:bookmarkEnd w:id="232"/>
    <w:bookmarkStart w:id="233" w:name="_MON_1424759589"/>
    <w:bookmarkEnd w:id="233"/>
    <w:p w14:paraId="357EAD05" w14:textId="646F6F37" w:rsidR="002A67B0" w:rsidRPr="0088338F" w:rsidRDefault="00650D27" w:rsidP="003C18A9">
      <w:pPr>
        <w:jc w:val="both"/>
        <w:rPr>
          <w:rFonts w:ascii="Arial" w:hAnsi="Arial" w:cs="Arial"/>
          <w:sz w:val="20"/>
          <w:szCs w:val="20"/>
        </w:rPr>
      </w:pPr>
      <w:r w:rsidRPr="0088338F">
        <w:rPr>
          <w:rFonts w:ascii="Arial" w:hAnsi="Arial" w:cs="Arial"/>
        </w:rPr>
        <w:object w:dxaOrig="9669" w:dyaOrig="1780" w14:anchorId="4581F32F">
          <v:shape id="_x0000_i1030" type="#_x0000_t75" style="width:450.6pt;height:91.2pt" o:ole="" o:preferrelative="f">
            <v:imagedata r:id="rId35" o:title=""/>
            <o:lock v:ext="edit" aspectratio="f"/>
          </v:shape>
          <o:OLEObject Type="Embed" ProgID="Excel.Sheet.8" ShapeID="_x0000_i1030" DrawAspect="Content" ObjectID="_1551591531" r:id="rId36"/>
        </w:object>
      </w:r>
    </w:p>
    <w:p w14:paraId="57C05C1A" w14:textId="77777777" w:rsidR="002A67B0" w:rsidRPr="0088338F" w:rsidRDefault="002A67B0" w:rsidP="003C18A9">
      <w:pPr>
        <w:jc w:val="both"/>
        <w:rPr>
          <w:rFonts w:ascii="Arial" w:hAnsi="Arial" w:cs="Arial"/>
          <w:sz w:val="20"/>
          <w:szCs w:val="20"/>
        </w:rPr>
      </w:pPr>
    </w:p>
    <w:p w14:paraId="099A2FA2" w14:textId="77777777" w:rsidR="00D62D63" w:rsidRPr="0088338F" w:rsidRDefault="00D62D63" w:rsidP="003C18A9">
      <w:pPr>
        <w:jc w:val="both"/>
        <w:rPr>
          <w:rFonts w:ascii="Arial" w:hAnsi="Arial" w:cs="Arial"/>
          <w:sz w:val="20"/>
          <w:szCs w:val="20"/>
        </w:rPr>
      </w:pPr>
      <w:r w:rsidRPr="0088338F">
        <w:rPr>
          <w:rFonts w:ascii="Arial" w:hAnsi="Arial" w:cs="Arial"/>
          <w:sz w:val="20"/>
          <w:szCs w:val="20"/>
        </w:rPr>
        <w:t>Pohľadávky voči bankám nie sú zabezpečené nijakým spôsobom.</w:t>
      </w:r>
    </w:p>
    <w:p w14:paraId="7B2219B0" w14:textId="77777777" w:rsidR="00DA0551" w:rsidRPr="0088338F" w:rsidRDefault="00DA0551" w:rsidP="003C18A9">
      <w:pPr>
        <w:jc w:val="both"/>
        <w:rPr>
          <w:rFonts w:ascii="Arial" w:hAnsi="Arial" w:cs="Arial"/>
          <w:sz w:val="20"/>
          <w:szCs w:val="20"/>
        </w:rPr>
      </w:pPr>
    </w:p>
    <w:p w14:paraId="66406BD9" w14:textId="77777777" w:rsidR="00E27C87" w:rsidRPr="0088338F" w:rsidRDefault="00E27C87" w:rsidP="003C18A9">
      <w:pPr>
        <w:jc w:val="both"/>
        <w:rPr>
          <w:rFonts w:ascii="Arial" w:hAnsi="Arial" w:cs="Arial"/>
          <w:sz w:val="20"/>
          <w:szCs w:val="20"/>
        </w:rPr>
      </w:pPr>
    </w:p>
    <w:p w14:paraId="507647DC" w14:textId="77777777" w:rsidR="00DA0551" w:rsidRPr="0088338F" w:rsidRDefault="00DA0551"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pohľad</w:t>
      </w:r>
      <w:r w:rsidR="00B3563D" w:rsidRPr="0088338F">
        <w:rPr>
          <w:rFonts w:ascii="Arial" w:hAnsi="Arial" w:cs="Arial"/>
          <w:b/>
          <w:caps/>
          <w:sz w:val="20"/>
          <w:szCs w:val="20"/>
        </w:rPr>
        <w:t>Á</w:t>
      </w:r>
      <w:r w:rsidRPr="0088338F">
        <w:rPr>
          <w:rFonts w:ascii="Arial" w:hAnsi="Arial" w:cs="Arial"/>
          <w:b/>
          <w:caps/>
          <w:sz w:val="20"/>
          <w:szCs w:val="20"/>
        </w:rPr>
        <w:t>vky voči klientom</w:t>
      </w:r>
    </w:p>
    <w:p w14:paraId="64AFAF91" w14:textId="77777777" w:rsidR="00DA0551" w:rsidRPr="0088338F" w:rsidRDefault="00DA0551" w:rsidP="00DA0551">
      <w:pPr>
        <w:jc w:val="both"/>
        <w:rPr>
          <w:rFonts w:ascii="Arial" w:hAnsi="Arial" w:cs="Arial"/>
          <w:sz w:val="20"/>
          <w:szCs w:val="20"/>
        </w:rPr>
      </w:pPr>
    </w:p>
    <w:p w14:paraId="42EF360D" w14:textId="77777777" w:rsidR="001B0E06" w:rsidRPr="0088338F" w:rsidRDefault="001B0E06" w:rsidP="002B3BCE">
      <w:pPr>
        <w:numPr>
          <w:ilvl w:val="0"/>
          <w:numId w:val="5"/>
        </w:numPr>
        <w:tabs>
          <w:tab w:val="clear" w:pos="930"/>
          <w:tab w:val="left" w:pos="567"/>
        </w:tabs>
        <w:ind w:left="567" w:hanging="567"/>
        <w:jc w:val="both"/>
        <w:rPr>
          <w:rFonts w:ascii="Arial" w:hAnsi="Arial" w:cs="Arial"/>
          <w:b/>
          <w:bCs/>
          <w:sz w:val="20"/>
          <w:szCs w:val="20"/>
        </w:rPr>
      </w:pPr>
      <w:r w:rsidRPr="0088338F">
        <w:rPr>
          <w:rFonts w:ascii="Arial" w:hAnsi="Arial" w:cs="Arial"/>
          <w:b/>
          <w:bCs/>
          <w:sz w:val="20"/>
          <w:szCs w:val="20"/>
        </w:rPr>
        <w:t>Analýza pohľadávok voči klientom podľa druhu</w:t>
      </w:r>
    </w:p>
    <w:p w14:paraId="6DF96B89" w14:textId="77777777" w:rsidR="001B0E06" w:rsidRPr="0088338F" w:rsidRDefault="001B0E06" w:rsidP="00DA0551">
      <w:pPr>
        <w:jc w:val="both"/>
        <w:rPr>
          <w:rFonts w:ascii="Arial" w:hAnsi="Arial" w:cs="Arial"/>
          <w:sz w:val="20"/>
          <w:szCs w:val="20"/>
        </w:rPr>
      </w:pPr>
    </w:p>
    <w:bookmarkStart w:id="234" w:name="_MON_1276941238"/>
    <w:bookmarkStart w:id="235" w:name="_MON_1277533128"/>
    <w:bookmarkStart w:id="236" w:name="_MON_1284986305"/>
    <w:bookmarkStart w:id="237" w:name="_MON_1284997863"/>
    <w:bookmarkStart w:id="238" w:name="_MON_1293455107"/>
    <w:bookmarkStart w:id="239" w:name="_MON_1293461457"/>
    <w:bookmarkStart w:id="240" w:name="_MON_1293520727"/>
    <w:bookmarkStart w:id="241" w:name="_MON_1300710570"/>
    <w:bookmarkStart w:id="242" w:name="_MON_1300710711"/>
    <w:bookmarkStart w:id="243" w:name="_MON_1301220620"/>
    <w:bookmarkStart w:id="244" w:name="_MON_1308550960"/>
    <w:bookmarkStart w:id="245" w:name="_MON_1308580699"/>
    <w:bookmarkStart w:id="246" w:name="_MON_1308580946"/>
    <w:bookmarkStart w:id="247" w:name="_MON_1316515378"/>
    <w:bookmarkStart w:id="248" w:name="_MON_1316588416"/>
    <w:bookmarkStart w:id="249" w:name="_MON_1324806598"/>
    <w:bookmarkStart w:id="250" w:name="_MON_1324806616"/>
    <w:bookmarkStart w:id="251" w:name="_MON_1332406312"/>
    <w:bookmarkStart w:id="252" w:name="_MON_1332489673"/>
    <w:bookmarkStart w:id="253" w:name="_MON_1332583332"/>
    <w:bookmarkStart w:id="254" w:name="_MON_1340182526"/>
    <w:bookmarkStart w:id="255" w:name="_MON_1340182537"/>
    <w:bookmarkStart w:id="256" w:name="_MON_1340182577"/>
    <w:bookmarkStart w:id="257" w:name="_MON_1340462436"/>
    <w:bookmarkStart w:id="258" w:name="_MON_1348572244"/>
    <w:bookmarkStart w:id="259" w:name="_MON_1348989394"/>
    <w:bookmarkStart w:id="260" w:name="_MON_1356330806"/>
    <w:bookmarkStart w:id="261" w:name="_MON_1356421050"/>
    <w:bookmarkStart w:id="262" w:name="_MON_1363954866"/>
    <w:bookmarkStart w:id="263" w:name="_MON_1364034236"/>
    <w:bookmarkStart w:id="264" w:name="_MON_1364135078"/>
    <w:bookmarkStart w:id="265" w:name="_MON_1364394158"/>
    <w:bookmarkStart w:id="266" w:name="_MON_1371994362"/>
    <w:bookmarkStart w:id="267" w:name="_MON_1372249507"/>
    <w:bookmarkStart w:id="268" w:name="_MON_1380090267"/>
    <w:bookmarkStart w:id="269" w:name="_MON_1380105995"/>
    <w:bookmarkStart w:id="270" w:name="_MON_1387447738"/>
    <w:bookmarkStart w:id="271" w:name="_MON_1387774121"/>
    <w:bookmarkStart w:id="272" w:name="_MON_1394968562"/>
    <w:bookmarkStart w:id="273" w:name="_MON_1394968605"/>
    <w:bookmarkStart w:id="274" w:name="_MON_1395042698"/>
    <w:bookmarkStart w:id="275" w:name="_MON_1395655375"/>
    <w:bookmarkStart w:id="276" w:name="_MON_1395830638"/>
    <w:bookmarkStart w:id="277" w:name="_MON_1395830666"/>
    <w:bookmarkStart w:id="278" w:name="_MON_1395908600"/>
    <w:bookmarkStart w:id="279" w:name="_MON_1424759605"/>
    <w:bookmarkStart w:id="280" w:name="_MON_1425190398"/>
    <w:bookmarkStart w:id="281" w:name="_MON_1426836591"/>
    <w:bookmarkStart w:id="282" w:name="_MON_1426853071"/>
    <w:bookmarkStart w:id="283" w:name="_MON_1456738914"/>
    <w:bookmarkStart w:id="284" w:name="_MON_1458625739"/>
    <w:bookmarkStart w:id="285" w:name="_MON_1458725791"/>
    <w:bookmarkStart w:id="286" w:name="_MON_1461476948"/>
    <w:bookmarkStart w:id="287" w:name="_MON_1466411222"/>
    <w:bookmarkStart w:id="288" w:name="_MON_1474348967"/>
    <w:bookmarkStart w:id="289" w:name="_MON_1474350975"/>
    <w:bookmarkStart w:id="290" w:name="_MON_1474351766"/>
    <w:bookmarkStart w:id="291" w:name="_MON_1215705137"/>
    <w:bookmarkStart w:id="292" w:name="_MON_1215707320"/>
    <w:bookmarkStart w:id="293" w:name="_MON_1215707404"/>
    <w:bookmarkStart w:id="294" w:name="_MON_1215707592"/>
    <w:bookmarkStart w:id="295" w:name="_MON_1215789723"/>
    <w:bookmarkStart w:id="296" w:name="_MON_1216382050"/>
    <w:bookmarkStart w:id="297" w:name="_MON_1216382223"/>
    <w:bookmarkStart w:id="298" w:name="_MON_1217320627"/>
    <w:bookmarkStart w:id="299" w:name="_MON_1217320843"/>
    <w:bookmarkStart w:id="300" w:name="_MON_1217503911"/>
    <w:bookmarkStart w:id="301" w:name="_MON_1232003468"/>
    <w:bookmarkStart w:id="302" w:name="_MON_1232003787"/>
    <w:bookmarkStart w:id="303" w:name="_MON_1232003928"/>
    <w:bookmarkStart w:id="304" w:name="_MON_1232171276"/>
    <w:bookmarkStart w:id="305" w:name="_MON_1232172748"/>
    <w:bookmarkStart w:id="306" w:name="_MON_1232354421"/>
    <w:bookmarkStart w:id="307" w:name="_MON_1232549046"/>
    <w:bookmarkStart w:id="308" w:name="_MON_1232827502"/>
    <w:bookmarkStart w:id="309" w:name="_MON_1232829298"/>
    <w:bookmarkStart w:id="310" w:name="_MON_1249393798"/>
    <w:bookmarkStart w:id="311" w:name="_MON_1249394100"/>
    <w:bookmarkStart w:id="312" w:name="_MON_1264098007"/>
    <w:bookmarkStart w:id="313" w:name="_MON_1264160012"/>
    <w:bookmarkStart w:id="314" w:name="_MON_1264259813"/>
    <w:bookmarkStart w:id="315" w:name="_MON_1265643250"/>
    <w:bookmarkStart w:id="316" w:name="_MON_1265722072"/>
    <w:bookmarkStart w:id="317" w:name="_MON_1265803032"/>
    <w:bookmarkStart w:id="318" w:name="_MON_1269581855"/>
    <w:bookmarkStart w:id="319" w:name="_MON_1269713069"/>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Start w:id="320" w:name="_MON_1269790770"/>
    <w:bookmarkEnd w:id="320"/>
    <w:p w14:paraId="149F464E" w14:textId="23AF0358" w:rsidR="00277FE0" w:rsidRPr="0088338F" w:rsidRDefault="0088338F" w:rsidP="00DA0551">
      <w:pPr>
        <w:jc w:val="both"/>
        <w:rPr>
          <w:rFonts w:ascii="Arial" w:hAnsi="Arial" w:cs="Arial"/>
          <w:sz w:val="20"/>
          <w:szCs w:val="20"/>
        </w:rPr>
      </w:pPr>
      <w:r w:rsidRPr="0088338F">
        <w:rPr>
          <w:rFonts w:ascii="Arial" w:hAnsi="Arial" w:cs="Arial"/>
        </w:rPr>
        <w:object w:dxaOrig="9694" w:dyaOrig="2275" w14:anchorId="2B1C0649">
          <v:shape id="_x0000_i1031" type="#_x0000_t75" style="width:448.2pt;height:117pt" o:ole="" o:preferrelative="f">
            <v:imagedata r:id="rId37" o:title=""/>
            <o:lock v:ext="edit" aspectratio="f"/>
          </v:shape>
          <o:OLEObject Type="Embed" ProgID="Excel.Sheet.8" ShapeID="_x0000_i1031" DrawAspect="Content" ObjectID="_1551591532" r:id="rId38"/>
        </w:object>
      </w:r>
    </w:p>
    <w:p w14:paraId="3D58E897" w14:textId="77777777" w:rsidR="0099407A" w:rsidRPr="0088338F" w:rsidRDefault="0099407A" w:rsidP="00230B98">
      <w:pPr>
        <w:jc w:val="both"/>
        <w:rPr>
          <w:rFonts w:ascii="Arial" w:hAnsi="Arial" w:cs="Arial"/>
          <w:sz w:val="20"/>
          <w:szCs w:val="20"/>
        </w:rPr>
      </w:pPr>
    </w:p>
    <w:p w14:paraId="16DFC2EC" w14:textId="59791411" w:rsidR="00507B16" w:rsidRPr="0088338F" w:rsidRDefault="00507B16" w:rsidP="00507B16">
      <w:pPr>
        <w:jc w:val="both"/>
        <w:rPr>
          <w:rFonts w:ascii="Arial" w:hAnsi="Arial" w:cs="Arial"/>
          <w:sz w:val="20"/>
          <w:szCs w:val="20"/>
        </w:rPr>
      </w:pPr>
      <w:r w:rsidRPr="0088338F">
        <w:rPr>
          <w:rFonts w:ascii="Arial" w:hAnsi="Arial" w:cs="Arial"/>
          <w:sz w:val="20"/>
          <w:szCs w:val="20"/>
        </w:rPr>
        <w:t>K 31. decembru 201</w:t>
      </w:r>
      <w:r w:rsidR="0086705D" w:rsidRPr="0088338F">
        <w:rPr>
          <w:rFonts w:ascii="Arial" w:hAnsi="Arial" w:cs="Arial"/>
          <w:sz w:val="20"/>
          <w:szCs w:val="20"/>
        </w:rPr>
        <w:t>6</w:t>
      </w:r>
      <w:r w:rsidRPr="0088338F">
        <w:rPr>
          <w:rFonts w:ascii="Arial" w:hAnsi="Arial" w:cs="Arial"/>
          <w:sz w:val="20"/>
          <w:szCs w:val="20"/>
        </w:rPr>
        <w:t xml:space="preserve"> podiel 15 najväčších klientov na hrubom úverovom portfóliu dosiahol </w:t>
      </w:r>
      <w:r w:rsidR="0045273B" w:rsidRPr="0088338F">
        <w:rPr>
          <w:rFonts w:ascii="Arial" w:hAnsi="Arial" w:cs="Arial"/>
          <w:sz w:val="20"/>
          <w:szCs w:val="20"/>
        </w:rPr>
        <w:t>42,4</w:t>
      </w:r>
      <w:r w:rsidR="00F22646" w:rsidRPr="0088338F">
        <w:rPr>
          <w:rFonts w:ascii="Arial" w:hAnsi="Arial" w:cs="Arial"/>
          <w:sz w:val="20"/>
          <w:szCs w:val="20"/>
        </w:rPr>
        <w:t xml:space="preserve"> </w:t>
      </w:r>
      <w:r w:rsidRPr="0088338F">
        <w:rPr>
          <w:rFonts w:ascii="Arial" w:hAnsi="Arial" w:cs="Arial"/>
          <w:sz w:val="20"/>
          <w:szCs w:val="20"/>
        </w:rPr>
        <w:t xml:space="preserve">%, čo predstavovalo sumu </w:t>
      </w:r>
      <w:r w:rsidR="0045273B" w:rsidRPr="0088338F">
        <w:rPr>
          <w:rFonts w:ascii="Arial" w:hAnsi="Arial" w:cs="Arial"/>
          <w:sz w:val="20"/>
          <w:szCs w:val="20"/>
        </w:rPr>
        <w:t>128 749</w:t>
      </w:r>
      <w:r w:rsidR="006C52F7" w:rsidRPr="0088338F">
        <w:rPr>
          <w:rFonts w:ascii="Arial" w:hAnsi="Arial" w:cs="Arial"/>
          <w:sz w:val="20"/>
          <w:szCs w:val="20"/>
        </w:rPr>
        <w:t xml:space="preserve"> </w:t>
      </w:r>
      <w:r w:rsidRPr="0088338F">
        <w:rPr>
          <w:rFonts w:ascii="Arial" w:hAnsi="Arial" w:cs="Arial"/>
          <w:sz w:val="20"/>
          <w:szCs w:val="20"/>
        </w:rPr>
        <w:t>tis. EUR (201</w:t>
      </w:r>
      <w:r w:rsidR="0086705D" w:rsidRPr="0088338F">
        <w:rPr>
          <w:rFonts w:ascii="Arial" w:hAnsi="Arial" w:cs="Arial"/>
          <w:sz w:val="20"/>
          <w:szCs w:val="20"/>
        </w:rPr>
        <w:t>5</w:t>
      </w:r>
      <w:r w:rsidRPr="0088338F">
        <w:rPr>
          <w:rFonts w:ascii="Arial" w:hAnsi="Arial" w:cs="Arial"/>
          <w:sz w:val="20"/>
          <w:szCs w:val="20"/>
        </w:rPr>
        <w:t>: 4</w:t>
      </w:r>
      <w:r w:rsidR="009F7076" w:rsidRPr="0088338F">
        <w:rPr>
          <w:rFonts w:ascii="Arial" w:hAnsi="Arial" w:cs="Arial"/>
          <w:sz w:val="20"/>
          <w:szCs w:val="20"/>
        </w:rPr>
        <w:t>6</w:t>
      </w:r>
      <w:r w:rsidRPr="0088338F">
        <w:rPr>
          <w:rFonts w:ascii="Arial" w:hAnsi="Arial" w:cs="Arial"/>
          <w:sz w:val="20"/>
          <w:szCs w:val="20"/>
        </w:rPr>
        <w:t>,</w:t>
      </w:r>
      <w:r w:rsidR="0086705D" w:rsidRPr="0088338F">
        <w:rPr>
          <w:rFonts w:ascii="Arial" w:hAnsi="Arial" w:cs="Arial"/>
          <w:sz w:val="20"/>
          <w:szCs w:val="20"/>
        </w:rPr>
        <w:t>1</w:t>
      </w:r>
      <w:r w:rsidRPr="0088338F">
        <w:rPr>
          <w:rFonts w:ascii="Arial" w:hAnsi="Arial" w:cs="Arial"/>
          <w:sz w:val="20"/>
          <w:szCs w:val="20"/>
        </w:rPr>
        <w:t xml:space="preserve"> %, </w:t>
      </w:r>
      <w:r w:rsidR="009F7076" w:rsidRPr="0088338F">
        <w:rPr>
          <w:rFonts w:ascii="Arial" w:hAnsi="Arial" w:cs="Arial"/>
          <w:sz w:val="20"/>
          <w:szCs w:val="20"/>
        </w:rPr>
        <w:t>1</w:t>
      </w:r>
      <w:r w:rsidR="0086705D" w:rsidRPr="0088338F">
        <w:rPr>
          <w:rFonts w:ascii="Arial" w:hAnsi="Arial" w:cs="Arial"/>
          <w:sz w:val="20"/>
          <w:szCs w:val="20"/>
        </w:rPr>
        <w:t>21</w:t>
      </w:r>
      <w:r w:rsidRPr="0088338F">
        <w:rPr>
          <w:rFonts w:ascii="Arial" w:hAnsi="Arial" w:cs="Arial"/>
          <w:sz w:val="20"/>
          <w:szCs w:val="20"/>
        </w:rPr>
        <w:t xml:space="preserve"> </w:t>
      </w:r>
      <w:r w:rsidR="0086705D" w:rsidRPr="0088338F">
        <w:rPr>
          <w:rFonts w:ascii="Arial" w:hAnsi="Arial" w:cs="Arial"/>
          <w:sz w:val="20"/>
          <w:szCs w:val="20"/>
        </w:rPr>
        <w:t>568</w:t>
      </w:r>
      <w:r w:rsidRPr="0088338F">
        <w:rPr>
          <w:rFonts w:ascii="Arial" w:hAnsi="Arial" w:cs="Arial"/>
          <w:sz w:val="20"/>
          <w:szCs w:val="20"/>
        </w:rPr>
        <w:t xml:space="preserve"> tis. EUR).</w:t>
      </w:r>
    </w:p>
    <w:p w14:paraId="214597F3" w14:textId="77777777" w:rsidR="0017305F" w:rsidRPr="0088338F" w:rsidRDefault="0017305F" w:rsidP="00DA0551">
      <w:pPr>
        <w:jc w:val="both"/>
        <w:rPr>
          <w:rFonts w:ascii="Arial" w:hAnsi="Arial" w:cs="Arial"/>
          <w:sz w:val="20"/>
          <w:szCs w:val="20"/>
        </w:rPr>
      </w:pPr>
    </w:p>
    <w:p w14:paraId="05E3124F" w14:textId="77777777" w:rsidR="001913ED" w:rsidRPr="0088338F" w:rsidRDefault="00944A15" w:rsidP="00DA0551">
      <w:pPr>
        <w:jc w:val="both"/>
        <w:rPr>
          <w:rFonts w:ascii="Arial" w:hAnsi="Arial" w:cs="Arial"/>
          <w:sz w:val="20"/>
          <w:szCs w:val="20"/>
        </w:rPr>
      </w:pPr>
      <w:r w:rsidRPr="0088338F">
        <w:rPr>
          <w:rFonts w:ascii="Arial" w:hAnsi="Arial" w:cs="Arial"/>
          <w:sz w:val="20"/>
          <w:szCs w:val="20"/>
        </w:rPr>
        <w:t xml:space="preserve">Ďalšie informácie ohľadne </w:t>
      </w:r>
      <w:r w:rsidR="00333863" w:rsidRPr="0088338F">
        <w:rPr>
          <w:rFonts w:ascii="Arial" w:hAnsi="Arial" w:cs="Arial"/>
          <w:sz w:val="20"/>
          <w:szCs w:val="20"/>
        </w:rPr>
        <w:t>úverového rizika</w:t>
      </w:r>
      <w:r w:rsidRPr="0088338F">
        <w:rPr>
          <w:rFonts w:ascii="Arial" w:hAnsi="Arial" w:cs="Arial"/>
          <w:sz w:val="20"/>
          <w:szCs w:val="20"/>
        </w:rPr>
        <w:t xml:space="preserve"> sú uvedené v</w:t>
      </w:r>
      <w:r w:rsidR="00277FE0" w:rsidRPr="0088338F">
        <w:rPr>
          <w:rFonts w:ascii="Arial" w:hAnsi="Arial" w:cs="Arial"/>
          <w:sz w:val="20"/>
          <w:szCs w:val="20"/>
        </w:rPr>
        <w:t> pozn.</w:t>
      </w:r>
      <w:r w:rsidRPr="0088338F">
        <w:rPr>
          <w:rFonts w:ascii="Arial" w:hAnsi="Arial" w:cs="Arial"/>
          <w:sz w:val="20"/>
          <w:szCs w:val="20"/>
        </w:rPr>
        <w:t xml:space="preserve"> </w:t>
      </w:r>
      <w:r w:rsidR="00333863" w:rsidRPr="0088338F">
        <w:rPr>
          <w:rFonts w:ascii="Arial" w:hAnsi="Arial" w:cs="Arial"/>
          <w:sz w:val="20"/>
          <w:szCs w:val="20"/>
        </w:rPr>
        <w:t>41</w:t>
      </w:r>
      <w:r w:rsidR="003E6CCE" w:rsidRPr="0088338F">
        <w:rPr>
          <w:rFonts w:ascii="Arial" w:hAnsi="Arial" w:cs="Arial"/>
          <w:sz w:val="20"/>
          <w:szCs w:val="20"/>
        </w:rPr>
        <w:t>.</w:t>
      </w:r>
    </w:p>
    <w:p w14:paraId="734209AF" w14:textId="77777777" w:rsidR="00A7146F" w:rsidRPr="0088338F" w:rsidRDefault="00A7146F" w:rsidP="00DA0551">
      <w:pPr>
        <w:jc w:val="both"/>
        <w:rPr>
          <w:rFonts w:ascii="Arial" w:hAnsi="Arial" w:cs="Arial"/>
          <w:sz w:val="20"/>
          <w:szCs w:val="20"/>
        </w:rPr>
      </w:pPr>
    </w:p>
    <w:p w14:paraId="477A6620" w14:textId="77777777" w:rsidR="00F3754A" w:rsidRPr="0088338F" w:rsidRDefault="00F3754A" w:rsidP="00DA0551">
      <w:pPr>
        <w:jc w:val="both"/>
        <w:rPr>
          <w:rFonts w:ascii="Arial" w:hAnsi="Arial" w:cs="Arial"/>
          <w:sz w:val="20"/>
          <w:szCs w:val="20"/>
        </w:rPr>
      </w:pPr>
    </w:p>
    <w:p w14:paraId="3DACB4AA" w14:textId="77777777" w:rsidR="00075098" w:rsidRPr="0088338F" w:rsidRDefault="00075098" w:rsidP="00DA0551">
      <w:pPr>
        <w:jc w:val="both"/>
        <w:rPr>
          <w:rFonts w:ascii="Arial" w:hAnsi="Arial" w:cs="Arial"/>
          <w:sz w:val="20"/>
          <w:szCs w:val="20"/>
        </w:rPr>
      </w:pPr>
    </w:p>
    <w:p w14:paraId="259BABD6" w14:textId="77777777" w:rsidR="00075098" w:rsidRPr="0088338F" w:rsidRDefault="00075098" w:rsidP="00DA0551">
      <w:pPr>
        <w:jc w:val="both"/>
        <w:rPr>
          <w:rFonts w:ascii="Arial" w:hAnsi="Arial" w:cs="Arial"/>
          <w:sz w:val="20"/>
          <w:szCs w:val="20"/>
        </w:rPr>
      </w:pPr>
    </w:p>
    <w:p w14:paraId="601BEE8E" w14:textId="77777777" w:rsidR="00DD4B99" w:rsidRPr="0088338F" w:rsidRDefault="00DD4B99" w:rsidP="00DA0551">
      <w:pPr>
        <w:jc w:val="both"/>
        <w:rPr>
          <w:rFonts w:ascii="Arial" w:hAnsi="Arial" w:cs="Arial"/>
          <w:sz w:val="20"/>
          <w:szCs w:val="20"/>
        </w:rPr>
      </w:pPr>
    </w:p>
    <w:p w14:paraId="2A9BB82C" w14:textId="77777777" w:rsidR="00BF10B1" w:rsidRPr="0088338F" w:rsidRDefault="006A6908" w:rsidP="002B3BCE">
      <w:pPr>
        <w:numPr>
          <w:ilvl w:val="0"/>
          <w:numId w:val="5"/>
        </w:numPr>
        <w:tabs>
          <w:tab w:val="clear" w:pos="930"/>
          <w:tab w:val="left" w:pos="567"/>
        </w:tabs>
        <w:ind w:left="567" w:hanging="567"/>
        <w:jc w:val="both"/>
        <w:rPr>
          <w:rFonts w:ascii="Arial" w:hAnsi="Arial" w:cs="Arial"/>
          <w:b/>
          <w:bCs/>
          <w:sz w:val="20"/>
          <w:szCs w:val="20"/>
        </w:rPr>
      </w:pPr>
      <w:r w:rsidRPr="0088338F">
        <w:rPr>
          <w:rFonts w:ascii="Arial" w:hAnsi="Arial" w:cs="Arial"/>
          <w:b/>
          <w:bCs/>
          <w:sz w:val="20"/>
          <w:szCs w:val="20"/>
        </w:rPr>
        <w:br w:type="page"/>
      </w:r>
      <w:r w:rsidR="00BF10B1" w:rsidRPr="0088338F">
        <w:rPr>
          <w:rFonts w:ascii="Arial" w:hAnsi="Arial" w:cs="Arial"/>
          <w:b/>
          <w:bCs/>
          <w:sz w:val="20"/>
          <w:szCs w:val="20"/>
        </w:rPr>
        <w:lastRenderedPageBreak/>
        <w:t>Analýza pohľadávok voči klientom podľa sektorového členenia</w:t>
      </w:r>
    </w:p>
    <w:p w14:paraId="32F529C1" w14:textId="77777777" w:rsidR="0055163D" w:rsidRPr="0088338F" w:rsidRDefault="0055163D" w:rsidP="0055163D">
      <w:pPr>
        <w:tabs>
          <w:tab w:val="left" w:pos="567"/>
        </w:tabs>
        <w:jc w:val="both"/>
        <w:rPr>
          <w:rFonts w:ascii="Arial" w:hAnsi="Arial" w:cs="Arial"/>
          <w:b/>
          <w:bCs/>
          <w:sz w:val="20"/>
          <w:szCs w:val="20"/>
        </w:rPr>
      </w:pPr>
    </w:p>
    <w:bookmarkStart w:id="321" w:name="_MON_1422272506"/>
    <w:bookmarkStart w:id="322" w:name="_MON_1422334471"/>
    <w:bookmarkStart w:id="323" w:name="_MON_1424163263"/>
    <w:bookmarkStart w:id="324" w:name="_MON_1453621141"/>
    <w:bookmarkStart w:id="325" w:name="_MON_1453621187"/>
    <w:bookmarkStart w:id="326" w:name="_MON_1453786668"/>
    <w:bookmarkStart w:id="327" w:name="_MON_1454218788"/>
    <w:bookmarkStart w:id="328" w:name="_MON_1454307544"/>
    <w:bookmarkStart w:id="329" w:name="_MON_1454307555"/>
    <w:bookmarkStart w:id="330" w:name="_MON_1392200478"/>
    <w:bookmarkStart w:id="331" w:name="_MON_1392731886"/>
    <w:bookmarkStart w:id="332" w:name="_MON_1422084185"/>
    <w:bookmarkEnd w:id="321"/>
    <w:bookmarkEnd w:id="322"/>
    <w:bookmarkEnd w:id="323"/>
    <w:bookmarkEnd w:id="324"/>
    <w:bookmarkEnd w:id="325"/>
    <w:bookmarkEnd w:id="326"/>
    <w:bookmarkEnd w:id="327"/>
    <w:bookmarkEnd w:id="328"/>
    <w:bookmarkEnd w:id="329"/>
    <w:bookmarkEnd w:id="330"/>
    <w:bookmarkEnd w:id="331"/>
    <w:bookmarkEnd w:id="332"/>
    <w:bookmarkStart w:id="333" w:name="_MON_1422270654"/>
    <w:bookmarkEnd w:id="333"/>
    <w:p w14:paraId="45A04157" w14:textId="5AA1914D" w:rsidR="009A69FD" w:rsidRPr="0088338F" w:rsidRDefault="0088338F" w:rsidP="00EB007B">
      <w:pPr>
        <w:tabs>
          <w:tab w:val="left" w:pos="567"/>
        </w:tabs>
        <w:jc w:val="both"/>
        <w:rPr>
          <w:rFonts w:ascii="Arial" w:hAnsi="Arial" w:cs="Arial"/>
          <w:b/>
          <w:bCs/>
          <w:sz w:val="20"/>
          <w:szCs w:val="20"/>
        </w:rPr>
      </w:pPr>
      <w:r w:rsidRPr="0088338F">
        <w:rPr>
          <w:rFonts w:ascii="Arial" w:hAnsi="Arial" w:cs="Arial"/>
        </w:rPr>
        <w:object w:dxaOrig="9694" w:dyaOrig="4253" w14:anchorId="57B08101">
          <v:shape id="_x0000_i1032" type="#_x0000_t75" style="width:455.4pt;height:210pt" o:ole="" o:preferrelative="f">
            <v:imagedata r:id="rId39" o:title=""/>
            <o:lock v:ext="edit" aspectratio="f"/>
          </v:shape>
          <o:OLEObject Type="Embed" ProgID="Excel.Sheet.8" ShapeID="_x0000_i1032" DrawAspect="Content" ObjectID="_1551591533" r:id="rId40"/>
        </w:object>
      </w:r>
    </w:p>
    <w:p w14:paraId="2FF76DF1" w14:textId="77777777" w:rsidR="00680899" w:rsidRPr="0088338F" w:rsidRDefault="00680899" w:rsidP="002B3BCE">
      <w:pPr>
        <w:numPr>
          <w:ilvl w:val="0"/>
          <w:numId w:val="5"/>
        </w:numPr>
        <w:tabs>
          <w:tab w:val="clear" w:pos="930"/>
          <w:tab w:val="left" w:pos="567"/>
        </w:tabs>
        <w:ind w:left="567" w:hanging="567"/>
        <w:jc w:val="both"/>
        <w:rPr>
          <w:rFonts w:ascii="Arial" w:hAnsi="Arial" w:cs="Arial"/>
          <w:b/>
          <w:bCs/>
          <w:sz w:val="20"/>
          <w:szCs w:val="20"/>
        </w:rPr>
      </w:pPr>
      <w:r w:rsidRPr="0088338F">
        <w:rPr>
          <w:rFonts w:ascii="Arial" w:hAnsi="Arial" w:cs="Arial"/>
          <w:b/>
          <w:bCs/>
          <w:sz w:val="20"/>
          <w:szCs w:val="20"/>
        </w:rPr>
        <w:t>Analýza pohľadávok voči klientom podľa účelu</w:t>
      </w:r>
    </w:p>
    <w:p w14:paraId="42417E08" w14:textId="77777777" w:rsidR="003B0FEC" w:rsidRPr="0088338F" w:rsidRDefault="003B0FEC" w:rsidP="003B0FEC">
      <w:pPr>
        <w:tabs>
          <w:tab w:val="left" w:pos="567"/>
        </w:tabs>
        <w:ind w:left="567"/>
        <w:jc w:val="both"/>
        <w:rPr>
          <w:rFonts w:ascii="Arial" w:hAnsi="Arial" w:cs="Arial"/>
          <w:b/>
          <w:bCs/>
          <w:sz w:val="20"/>
          <w:szCs w:val="20"/>
        </w:rPr>
      </w:pPr>
    </w:p>
    <w:bookmarkStart w:id="334" w:name="_MON_1453628456"/>
    <w:bookmarkStart w:id="335" w:name="_MON_1453786688"/>
    <w:bookmarkStart w:id="336" w:name="_MON_1454218843"/>
    <w:bookmarkStart w:id="337" w:name="_MON_1454225910"/>
    <w:bookmarkStart w:id="338" w:name="_MON_1454307586"/>
    <w:bookmarkStart w:id="339" w:name="_MON_1456739093"/>
    <w:bookmarkStart w:id="340" w:name="_MON_1458625752"/>
    <w:bookmarkStart w:id="341" w:name="_MON_1458709637"/>
    <w:bookmarkStart w:id="342" w:name="_MON_1458710374"/>
    <w:bookmarkStart w:id="343" w:name="_MON_1458712236"/>
    <w:bookmarkStart w:id="344" w:name="_MON_1458713108"/>
    <w:bookmarkStart w:id="345" w:name="_MON_1458713226"/>
    <w:bookmarkStart w:id="346" w:name="_MON_1458714305"/>
    <w:bookmarkStart w:id="347" w:name="_MON_1458974922"/>
    <w:bookmarkStart w:id="348" w:name="_MON_1461476962"/>
    <w:bookmarkStart w:id="349" w:name="_MON_1466411233"/>
    <w:bookmarkStart w:id="350" w:name="_MON_1466570739"/>
    <w:bookmarkStart w:id="351" w:name="_MON_1466570827"/>
    <w:bookmarkStart w:id="352" w:name="_MON_1466570890"/>
    <w:bookmarkStart w:id="353" w:name="_MON_1474352766"/>
    <w:bookmarkStart w:id="354" w:name="_MON_1474353853"/>
    <w:bookmarkStart w:id="355" w:name="_MON_1392200366"/>
    <w:bookmarkStart w:id="356" w:name="_MON_1392554345"/>
    <w:bookmarkStart w:id="357" w:name="_MON_1392554645"/>
    <w:bookmarkStart w:id="358" w:name="_MON_1392555010"/>
    <w:bookmarkStart w:id="359" w:name="_MON_1394968794"/>
    <w:bookmarkStart w:id="360" w:name="_MON_1395042709"/>
    <w:bookmarkStart w:id="361" w:name="_MON_1395655411"/>
    <w:bookmarkStart w:id="362" w:name="_MON_1395830684"/>
    <w:bookmarkStart w:id="363" w:name="_MON_1395831031"/>
    <w:bookmarkStart w:id="364" w:name="_MON_1395908617"/>
    <w:bookmarkStart w:id="365" w:name="_MON_1424759651"/>
    <w:bookmarkStart w:id="366" w:name="_MON_1425190440"/>
    <w:bookmarkStart w:id="367" w:name="_MON_1426836675"/>
    <w:bookmarkStart w:id="368" w:name="_MON_1426853100"/>
    <w:bookmarkStart w:id="369" w:name="_MON_1426853158"/>
    <w:bookmarkStart w:id="370" w:name="_MON_1430811172"/>
    <w:bookmarkStart w:id="371" w:name="_MON_1434869511"/>
    <w:bookmarkStart w:id="372" w:name="_MON_1434883407"/>
    <w:bookmarkStart w:id="373" w:name="_MON_1434883774"/>
    <w:bookmarkStart w:id="374" w:name="_MON_1434975163"/>
    <w:bookmarkStart w:id="375" w:name="_MON_1441022528"/>
    <w:bookmarkStart w:id="376" w:name="_MON_1442837371"/>
    <w:bookmarkStart w:id="377" w:name="_MON_1442991850"/>
    <w:bookmarkStart w:id="378" w:name="_MON_1442992009"/>
    <w:bookmarkStart w:id="379" w:name="_MON_1446450036"/>
    <w:bookmarkStart w:id="380" w:name="_MON_1451195564"/>
    <w:bookmarkStart w:id="381" w:name="_MON_1451209425"/>
    <w:bookmarkStart w:id="382" w:name="_MON_1451209472"/>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Start w:id="383" w:name="_MON_1453621227"/>
    <w:bookmarkEnd w:id="383"/>
    <w:p w14:paraId="658CDDAF" w14:textId="55649381" w:rsidR="0055163D" w:rsidRPr="0088338F" w:rsidRDefault="0088338F" w:rsidP="00680899">
      <w:pPr>
        <w:jc w:val="both"/>
        <w:rPr>
          <w:rFonts w:ascii="Arial" w:hAnsi="Arial" w:cs="Arial"/>
          <w:sz w:val="20"/>
          <w:szCs w:val="20"/>
        </w:rPr>
      </w:pPr>
      <w:r w:rsidRPr="0088338F">
        <w:rPr>
          <w:rFonts w:ascii="Arial" w:hAnsi="Arial" w:cs="Arial"/>
        </w:rPr>
        <w:object w:dxaOrig="9757" w:dyaOrig="5489" w14:anchorId="796068C5">
          <v:shape id="_x0000_i1033" type="#_x0000_t75" style="width:456pt;height:272.4pt" o:ole="" o:preferrelative="f">
            <v:imagedata r:id="rId41" o:title=""/>
            <o:lock v:ext="edit" aspectratio="f"/>
          </v:shape>
          <o:OLEObject Type="Embed" ProgID="Excel.Sheet.8" ShapeID="_x0000_i1033" DrawAspect="Content" ObjectID="_1551591534" r:id="rId42"/>
        </w:object>
      </w:r>
    </w:p>
    <w:p w14:paraId="6821682D" w14:textId="7AE0D0BE" w:rsidR="00040696" w:rsidRPr="0088338F" w:rsidRDefault="00040696" w:rsidP="003C18A9">
      <w:pPr>
        <w:jc w:val="both"/>
        <w:rPr>
          <w:rFonts w:ascii="Arial" w:hAnsi="Arial" w:cs="Arial"/>
          <w:sz w:val="20"/>
          <w:szCs w:val="20"/>
        </w:rPr>
      </w:pPr>
      <w:r w:rsidRPr="0088338F">
        <w:rPr>
          <w:rFonts w:ascii="Arial" w:hAnsi="Arial" w:cs="Arial"/>
          <w:sz w:val="20"/>
          <w:szCs w:val="20"/>
        </w:rPr>
        <w:t xml:space="preserve">Podiel úverov na projektové financovanie na hrubej hodnote pohľadávok voči klientom </w:t>
      </w:r>
      <w:r w:rsidR="007E62C3" w:rsidRPr="0088338F">
        <w:rPr>
          <w:rFonts w:ascii="Arial" w:hAnsi="Arial" w:cs="Arial"/>
          <w:sz w:val="20"/>
          <w:szCs w:val="20"/>
        </w:rPr>
        <w:t>ku koncu roka 201</w:t>
      </w:r>
      <w:r w:rsidR="00D44849" w:rsidRPr="0088338F">
        <w:rPr>
          <w:rFonts w:ascii="Arial" w:hAnsi="Arial" w:cs="Arial"/>
          <w:sz w:val="20"/>
          <w:szCs w:val="20"/>
        </w:rPr>
        <w:t>6</w:t>
      </w:r>
      <w:r w:rsidR="007E62C3" w:rsidRPr="0088338F">
        <w:rPr>
          <w:rFonts w:ascii="Arial" w:hAnsi="Arial" w:cs="Arial"/>
          <w:sz w:val="20"/>
          <w:szCs w:val="20"/>
        </w:rPr>
        <w:t xml:space="preserve"> </w:t>
      </w:r>
      <w:r w:rsidRPr="0088338F">
        <w:rPr>
          <w:rFonts w:ascii="Arial" w:hAnsi="Arial" w:cs="Arial"/>
          <w:sz w:val="20"/>
          <w:szCs w:val="20"/>
        </w:rPr>
        <w:t xml:space="preserve">tvorí </w:t>
      </w:r>
      <w:r w:rsidR="00CA1D9E" w:rsidRPr="0088338F">
        <w:rPr>
          <w:rFonts w:ascii="Arial" w:hAnsi="Arial" w:cs="Arial"/>
          <w:sz w:val="20"/>
          <w:szCs w:val="20"/>
        </w:rPr>
        <w:t>9,5</w:t>
      </w:r>
      <w:r w:rsidR="006C6E71" w:rsidRPr="0088338F">
        <w:rPr>
          <w:rFonts w:ascii="Arial" w:hAnsi="Arial" w:cs="Arial"/>
          <w:sz w:val="20"/>
          <w:szCs w:val="20"/>
        </w:rPr>
        <w:t xml:space="preserve"> </w:t>
      </w:r>
      <w:r w:rsidRPr="0088338F">
        <w:rPr>
          <w:rFonts w:ascii="Arial" w:hAnsi="Arial" w:cs="Arial"/>
          <w:sz w:val="20"/>
          <w:szCs w:val="20"/>
        </w:rPr>
        <w:t>% (20</w:t>
      </w:r>
      <w:r w:rsidR="00F3754A" w:rsidRPr="0088338F">
        <w:rPr>
          <w:rFonts w:ascii="Arial" w:hAnsi="Arial" w:cs="Arial"/>
          <w:sz w:val="20"/>
          <w:szCs w:val="20"/>
        </w:rPr>
        <w:t>1</w:t>
      </w:r>
      <w:r w:rsidR="00D44849" w:rsidRPr="0088338F">
        <w:rPr>
          <w:rFonts w:ascii="Arial" w:hAnsi="Arial" w:cs="Arial"/>
          <w:sz w:val="20"/>
          <w:szCs w:val="20"/>
        </w:rPr>
        <w:t>5</w:t>
      </w:r>
      <w:r w:rsidRPr="0088338F">
        <w:rPr>
          <w:rFonts w:ascii="Arial" w:hAnsi="Arial" w:cs="Arial"/>
          <w:sz w:val="20"/>
          <w:szCs w:val="20"/>
        </w:rPr>
        <w:t xml:space="preserve">: </w:t>
      </w:r>
      <w:r w:rsidR="00D44849" w:rsidRPr="0088338F">
        <w:rPr>
          <w:rFonts w:ascii="Arial" w:hAnsi="Arial" w:cs="Arial"/>
          <w:sz w:val="20"/>
          <w:szCs w:val="20"/>
        </w:rPr>
        <w:t>7</w:t>
      </w:r>
      <w:r w:rsidRPr="0088338F">
        <w:rPr>
          <w:rFonts w:ascii="Arial" w:hAnsi="Arial" w:cs="Arial"/>
          <w:sz w:val="20"/>
          <w:szCs w:val="20"/>
        </w:rPr>
        <w:t>,</w:t>
      </w:r>
      <w:r w:rsidR="00D44849" w:rsidRPr="0088338F">
        <w:rPr>
          <w:rFonts w:ascii="Arial" w:hAnsi="Arial" w:cs="Arial"/>
          <w:sz w:val="20"/>
          <w:szCs w:val="20"/>
        </w:rPr>
        <w:t>3</w:t>
      </w:r>
      <w:r w:rsidR="00F3754A" w:rsidRPr="0088338F">
        <w:rPr>
          <w:rFonts w:ascii="Arial" w:hAnsi="Arial" w:cs="Arial"/>
          <w:sz w:val="20"/>
          <w:szCs w:val="20"/>
        </w:rPr>
        <w:t xml:space="preserve"> </w:t>
      </w:r>
      <w:r w:rsidRPr="0088338F">
        <w:rPr>
          <w:rFonts w:ascii="Arial" w:hAnsi="Arial" w:cs="Arial"/>
          <w:sz w:val="20"/>
          <w:szCs w:val="20"/>
        </w:rPr>
        <w:t>%)</w:t>
      </w:r>
      <w:r w:rsidR="00A23A61" w:rsidRPr="0088338F">
        <w:rPr>
          <w:rFonts w:ascii="Arial" w:hAnsi="Arial" w:cs="Arial"/>
          <w:sz w:val="20"/>
          <w:szCs w:val="20"/>
        </w:rPr>
        <w:t>.</w:t>
      </w:r>
    </w:p>
    <w:p w14:paraId="64A66BE0" w14:textId="77777777" w:rsidR="00192F80" w:rsidRPr="0088338F" w:rsidRDefault="00192F80" w:rsidP="003C18A9">
      <w:pPr>
        <w:jc w:val="both"/>
        <w:rPr>
          <w:rFonts w:ascii="Arial" w:hAnsi="Arial" w:cs="Arial"/>
          <w:sz w:val="20"/>
          <w:szCs w:val="20"/>
        </w:rPr>
      </w:pPr>
    </w:p>
    <w:p w14:paraId="5F854EEF" w14:textId="77777777" w:rsidR="00F3754A" w:rsidRPr="0088338F" w:rsidRDefault="00F3754A" w:rsidP="003C18A9">
      <w:pPr>
        <w:jc w:val="both"/>
        <w:rPr>
          <w:rFonts w:ascii="Arial" w:hAnsi="Arial" w:cs="Arial"/>
          <w:sz w:val="20"/>
          <w:szCs w:val="20"/>
        </w:rPr>
      </w:pPr>
    </w:p>
    <w:p w14:paraId="18320982" w14:textId="77777777" w:rsidR="00DD4B99" w:rsidRPr="0088338F" w:rsidRDefault="00DD4B99" w:rsidP="003C18A9">
      <w:pPr>
        <w:jc w:val="both"/>
        <w:rPr>
          <w:rFonts w:ascii="Arial" w:hAnsi="Arial" w:cs="Arial"/>
          <w:sz w:val="20"/>
          <w:szCs w:val="20"/>
        </w:rPr>
      </w:pPr>
    </w:p>
    <w:p w14:paraId="52A37C2B" w14:textId="77777777" w:rsidR="00DD4B99" w:rsidRPr="0088338F" w:rsidRDefault="00DD4B99" w:rsidP="003C18A9">
      <w:pPr>
        <w:jc w:val="both"/>
        <w:rPr>
          <w:rFonts w:ascii="Arial" w:hAnsi="Arial" w:cs="Arial"/>
          <w:sz w:val="20"/>
          <w:szCs w:val="20"/>
        </w:rPr>
      </w:pPr>
    </w:p>
    <w:p w14:paraId="64DF6372" w14:textId="77777777" w:rsidR="000911B8" w:rsidRPr="0088338F" w:rsidRDefault="0037266C" w:rsidP="002B3BCE">
      <w:pPr>
        <w:numPr>
          <w:ilvl w:val="0"/>
          <w:numId w:val="5"/>
        </w:numPr>
        <w:tabs>
          <w:tab w:val="clear" w:pos="930"/>
          <w:tab w:val="left" w:pos="567"/>
        </w:tabs>
        <w:ind w:left="567" w:hanging="567"/>
        <w:jc w:val="both"/>
        <w:rPr>
          <w:rFonts w:ascii="Arial" w:hAnsi="Arial" w:cs="Arial"/>
          <w:b/>
          <w:bCs/>
          <w:sz w:val="20"/>
          <w:szCs w:val="20"/>
        </w:rPr>
      </w:pPr>
      <w:r w:rsidRPr="0088338F">
        <w:rPr>
          <w:rFonts w:ascii="Arial" w:hAnsi="Arial" w:cs="Arial"/>
          <w:b/>
          <w:bCs/>
          <w:sz w:val="20"/>
          <w:szCs w:val="20"/>
        </w:rPr>
        <w:br w:type="page"/>
      </w:r>
      <w:r w:rsidR="000911B8" w:rsidRPr="0088338F">
        <w:rPr>
          <w:rFonts w:ascii="Arial" w:hAnsi="Arial" w:cs="Arial"/>
          <w:b/>
          <w:bCs/>
          <w:sz w:val="20"/>
          <w:szCs w:val="20"/>
        </w:rPr>
        <w:lastRenderedPageBreak/>
        <w:t>Riziková kategorizácia úverov poskytnutých klientom</w:t>
      </w:r>
    </w:p>
    <w:p w14:paraId="68F706D8" w14:textId="77777777" w:rsidR="002A3359" w:rsidRPr="0088338F" w:rsidRDefault="002A3359" w:rsidP="00680899">
      <w:pPr>
        <w:jc w:val="both"/>
        <w:rPr>
          <w:rFonts w:ascii="Arial" w:hAnsi="Arial" w:cs="Arial"/>
          <w:sz w:val="16"/>
          <w:szCs w:val="16"/>
        </w:rPr>
      </w:pPr>
    </w:p>
    <w:p w14:paraId="67CE8507" w14:textId="0969B75A" w:rsidR="0088113B" w:rsidRPr="0088338F" w:rsidRDefault="0088113B" w:rsidP="0088113B">
      <w:pPr>
        <w:jc w:val="both"/>
        <w:rPr>
          <w:rFonts w:ascii="Arial" w:hAnsi="Arial" w:cs="Arial"/>
          <w:sz w:val="20"/>
          <w:szCs w:val="20"/>
        </w:rPr>
      </w:pPr>
      <w:r w:rsidRPr="0088338F">
        <w:rPr>
          <w:rFonts w:ascii="Arial" w:hAnsi="Arial" w:cs="Arial"/>
          <w:sz w:val="20"/>
          <w:szCs w:val="20"/>
        </w:rPr>
        <w:t>Nasledujúci prehľad obsahuje podrobný rozpis úverov poskytnutých klientom podľa typu pohľadávky a úrovne rizík identifikovaných v úverovom portfóliu banky k 31. decembru 201</w:t>
      </w:r>
      <w:r w:rsidR="00B17B44" w:rsidRPr="0088338F">
        <w:rPr>
          <w:rFonts w:ascii="Arial" w:hAnsi="Arial" w:cs="Arial"/>
          <w:sz w:val="20"/>
          <w:szCs w:val="20"/>
        </w:rPr>
        <w:t>6</w:t>
      </w:r>
      <w:r w:rsidRPr="0088338F">
        <w:rPr>
          <w:rFonts w:ascii="Arial" w:hAnsi="Arial" w:cs="Arial"/>
          <w:sz w:val="20"/>
          <w:szCs w:val="20"/>
        </w:rPr>
        <w:t>. Informácie o angažovanostiach zahŕňajú nevyčerpané úverové rámce a vydané záruky.</w:t>
      </w:r>
      <w:r w:rsidR="00D07BBB" w:rsidRPr="0088338F">
        <w:rPr>
          <w:rFonts w:ascii="Arial" w:hAnsi="Arial" w:cs="Arial"/>
          <w:sz w:val="20"/>
          <w:szCs w:val="20"/>
        </w:rPr>
        <w:t xml:space="preserve"> Odh</w:t>
      </w:r>
      <w:r w:rsidR="007571AA" w:rsidRPr="0088338F">
        <w:rPr>
          <w:rFonts w:ascii="Arial" w:hAnsi="Arial" w:cs="Arial"/>
          <w:sz w:val="20"/>
          <w:szCs w:val="20"/>
        </w:rPr>
        <w:t>ad</w:t>
      </w:r>
      <w:r w:rsidR="00D07BBB" w:rsidRPr="0088338F">
        <w:rPr>
          <w:rFonts w:ascii="Arial" w:hAnsi="Arial" w:cs="Arial"/>
          <w:sz w:val="20"/>
          <w:szCs w:val="20"/>
        </w:rPr>
        <w:t xml:space="preserve"> hodnoty zábezpeky predstavuje nárokovateľnú časť.</w:t>
      </w:r>
    </w:p>
    <w:bookmarkStart w:id="384" w:name="_MON_1425190940"/>
    <w:bookmarkStart w:id="385" w:name="_MON_1427024841"/>
    <w:bookmarkStart w:id="386" w:name="_MON_1427103994"/>
    <w:bookmarkStart w:id="387" w:name="_MON_1456739384"/>
    <w:bookmarkStart w:id="388" w:name="_MON_1458725605"/>
    <w:bookmarkStart w:id="389" w:name="_MON_1461477011"/>
    <w:bookmarkStart w:id="390" w:name="_MON_1466323129"/>
    <w:bookmarkStart w:id="391" w:name="_MON_1474359411"/>
    <w:bookmarkStart w:id="392" w:name="_MON_1474359526"/>
    <w:bookmarkStart w:id="393" w:name="_MON_1474359900"/>
    <w:bookmarkStart w:id="394" w:name="_MON_1371994534"/>
    <w:bookmarkStart w:id="395" w:name="_MON_1372251843"/>
    <w:bookmarkStart w:id="396" w:name="_MON_1380090328"/>
    <w:bookmarkStart w:id="397" w:name="_MON_1380379811"/>
    <w:bookmarkStart w:id="398" w:name="_MON_1387447883"/>
    <w:bookmarkStart w:id="399" w:name="_MON_1387622547"/>
    <w:bookmarkStart w:id="400" w:name="_MON_1394969005"/>
    <w:bookmarkStart w:id="401" w:name="_MON_1396088076"/>
    <w:bookmarkStart w:id="402" w:name="_MON_1424759707"/>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Start w:id="403" w:name="_MON_1425190735"/>
    <w:bookmarkEnd w:id="403"/>
    <w:p w14:paraId="61D9F288" w14:textId="72EF7559" w:rsidR="00640F3C" w:rsidRPr="0088338F" w:rsidRDefault="00C16505" w:rsidP="00680899">
      <w:pPr>
        <w:jc w:val="both"/>
      </w:pPr>
      <w:r w:rsidRPr="0088338F">
        <w:object w:dxaOrig="11290" w:dyaOrig="5736" w14:anchorId="1405594C">
          <v:shape id="_x0000_i1034" type="#_x0000_t75" style="width:467.4pt;height:263.4pt" o:ole="">
            <v:imagedata r:id="rId43" o:title=""/>
          </v:shape>
          <o:OLEObject Type="Embed" ProgID="Excel.Sheet.8" ShapeID="_x0000_i1034" DrawAspect="Content" ObjectID="_1551591535" r:id="rId44"/>
        </w:object>
      </w:r>
    </w:p>
    <w:p w14:paraId="3521CB13" w14:textId="33F72F14" w:rsidR="00F774E3" w:rsidRPr="0088338F" w:rsidRDefault="00F774E3" w:rsidP="00680899">
      <w:pPr>
        <w:jc w:val="both"/>
        <w:rPr>
          <w:rFonts w:ascii="Arial" w:hAnsi="Arial" w:cs="Arial"/>
          <w:sz w:val="20"/>
          <w:szCs w:val="20"/>
        </w:rPr>
      </w:pPr>
      <w:r w:rsidRPr="0088338F">
        <w:rPr>
          <w:rFonts w:ascii="Arial" w:hAnsi="Arial" w:cs="Arial"/>
          <w:sz w:val="20"/>
          <w:szCs w:val="20"/>
        </w:rPr>
        <w:t>Úrokové výnosy z úverov voči klientom so zníženou hodnotou v roku 20</w:t>
      </w:r>
      <w:r w:rsidR="00325768" w:rsidRPr="0088338F">
        <w:rPr>
          <w:rFonts w:ascii="Arial" w:hAnsi="Arial" w:cs="Arial"/>
          <w:sz w:val="20"/>
          <w:szCs w:val="20"/>
        </w:rPr>
        <w:t>1</w:t>
      </w:r>
      <w:r w:rsidR="00B17B44" w:rsidRPr="0088338F">
        <w:rPr>
          <w:rFonts w:ascii="Arial" w:hAnsi="Arial" w:cs="Arial"/>
          <w:sz w:val="20"/>
          <w:szCs w:val="20"/>
        </w:rPr>
        <w:t>6</w:t>
      </w:r>
      <w:r w:rsidRPr="0088338F">
        <w:rPr>
          <w:rFonts w:ascii="Arial" w:hAnsi="Arial" w:cs="Arial"/>
          <w:sz w:val="20"/>
          <w:szCs w:val="20"/>
        </w:rPr>
        <w:t xml:space="preserve"> </w:t>
      </w:r>
      <w:r w:rsidR="00FD113E" w:rsidRPr="0088338F">
        <w:rPr>
          <w:rFonts w:ascii="Arial" w:hAnsi="Arial" w:cs="Arial"/>
          <w:sz w:val="20"/>
          <w:szCs w:val="20"/>
        </w:rPr>
        <w:t xml:space="preserve">boli vo výške </w:t>
      </w:r>
      <w:r w:rsidR="00E362B5" w:rsidRPr="0088338F">
        <w:rPr>
          <w:rFonts w:ascii="Arial" w:hAnsi="Arial" w:cs="Arial"/>
          <w:sz w:val="20"/>
          <w:szCs w:val="20"/>
        </w:rPr>
        <w:t>1 845</w:t>
      </w:r>
      <w:r w:rsidR="00F91F9C" w:rsidRPr="0088338F">
        <w:rPr>
          <w:rFonts w:ascii="Arial" w:hAnsi="Arial" w:cs="Arial"/>
          <w:sz w:val="20"/>
          <w:szCs w:val="20"/>
        </w:rPr>
        <w:t> </w:t>
      </w:r>
      <w:r w:rsidRPr="0088338F">
        <w:rPr>
          <w:rFonts w:ascii="Arial" w:hAnsi="Arial" w:cs="Arial"/>
          <w:sz w:val="20"/>
          <w:szCs w:val="20"/>
        </w:rPr>
        <w:t>tis</w:t>
      </w:r>
      <w:r w:rsidR="00FD113E" w:rsidRPr="0088338F">
        <w:rPr>
          <w:rFonts w:ascii="Arial" w:hAnsi="Arial" w:cs="Arial"/>
          <w:sz w:val="20"/>
          <w:szCs w:val="20"/>
        </w:rPr>
        <w:t>.</w:t>
      </w:r>
      <w:r w:rsidR="00F91F9C" w:rsidRPr="0088338F">
        <w:rPr>
          <w:rFonts w:ascii="Arial" w:hAnsi="Arial" w:cs="Arial"/>
          <w:sz w:val="20"/>
          <w:szCs w:val="20"/>
        </w:rPr>
        <w:t> </w:t>
      </w:r>
      <w:r w:rsidR="006A7BD4" w:rsidRPr="0088338F">
        <w:rPr>
          <w:rFonts w:ascii="Arial" w:hAnsi="Arial" w:cs="Arial"/>
          <w:sz w:val="20"/>
          <w:szCs w:val="20"/>
        </w:rPr>
        <w:t>EUR</w:t>
      </w:r>
      <w:r w:rsidRPr="0088338F">
        <w:rPr>
          <w:rFonts w:ascii="Arial" w:hAnsi="Arial" w:cs="Arial"/>
          <w:sz w:val="20"/>
          <w:szCs w:val="20"/>
        </w:rPr>
        <w:t xml:space="preserve"> (20</w:t>
      </w:r>
      <w:r w:rsidR="00F3754A" w:rsidRPr="0088338F">
        <w:rPr>
          <w:rFonts w:ascii="Arial" w:hAnsi="Arial" w:cs="Arial"/>
          <w:sz w:val="20"/>
          <w:szCs w:val="20"/>
        </w:rPr>
        <w:t>1</w:t>
      </w:r>
      <w:r w:rsidR="00B17B44" w:rsidRPr="0088338F">
        <w:rPr>
          <w:rFonts w:ascii="Arial" w:hAnsi="Arial" w:cs="Arial"/>
          <w:sz w:val="20"/>
          <w:szCs w:val="20"/>
        </w:rPr>
        <w:t>5</w:t>
      </w:r>
      <w:r w:rsidR="001C380F" w:rsidRPr="0088338F">
        <w:rPr>
          <w:rFonts w:ascii="Arial" w:hAnsi="Arial" w:cs="Arial"/>
          <w:sz w:val="20"/>
          <w:szCs w:val="20"/>
        </w:rPr>
        <w:t>:</w:t>
      </w:r>
      <w:r w:rsidRPr="0088338F">
        <w:rPr>
          <w:rFonts w:ascii="Arial" w:hAnsi="Arial" w:cs="Arial"/>
          <w:sz w:val="20"/>
          <w:szCs w:val="20"/>
        </w:rPr>
        <w:t xml:space="preserve"> </w:t>
      </w:r>
      <w:r w:rsidR="00B17B44" w:rsidRPr="0088338F">
        <w:rPr>
          <w:rFonts w:ascii="Arial" w:hAnsi="Arial" w:cs="Arial"/>
          <w:sz w:val="20"/>
          <w:szCs w:val="20"/>
        </w:rPr>
        <w:t>828</w:t>
      </w:r>
      <w:r w:rsidRPr="0088338F">
        <w:rPr>
          <w:rFonts w:ascii="Arial" w:hAnsi="Arial" w:cs="Arial"/>
          <w:sz w:val="20"/>
          <w:szCs w:val="20"/>
        </w:rPr>
        <w:t xml:space="preserve"> tis. </w:t>
      </w:r>
      <w:r w:rsidR="00AA6665" w:rsidRPr="0088338F">
        <w:rPr>
          <w:rFonts w:ascii="Arial" w:hAnsi="Arial" w:cs="Arial"/>
          <w:sz w:val="20"/>
          <w:szCs w:val="20"/>
        </w:rPr>
        <w:t>EUR</w:t>
      </w:r>
      <w:r w:rsidRPr="0088338F">
        <w:rPr>
          <w:rFonts w:ascii="Arial" w:hAnsi="Arial" w:cs="Arial"/>
          <w:sz w:val="20"/>
          <w:szCs w:val="20"/>
        </w:rPr>
        <w:t>)</w:t>
      </w:r>
      <w:r w:rsidR="00FD113E" w:rsidRPr="0088338F">
        <w:rPr>
          <w:rFonts w:ascii="Arial" w:hAnsi="Arial" w:cs="Arial"/>
          <w:sz w:val="20"/>
          <w:szCs w:val="20"/>
        </w:rPr>
        <w:t>.</w:t>
      </w:r>
    </w:p>
    <w:p w14:paraId="6C78665A" w14:textId="77777777" w:rsidR="001C380F" w:rsidRPr="0088338F" w:rsidRDefault="001C380F" w:rsidP="00680899">
      <w:pPr>
        <w:jc w:val="both"/>
        <w:rPr>
          <w:sz w:val="14"/>
          <w:szCs w:val="14"/>
        </w:rPr>
      </w:pPr>
    </w:p>
    <w:p w14:paraId="61FB6B5A" w14:textId="418D4CF7" w:rsidR="00446C3C" w:rsidRPr="0088338F" w:rsidRDefault="00680899" w:rsidP="00CE2DCA">
      <w:pPr>
        <w:jc w:val="both"/>
        <w:rPr>
          <w:sz w:val="16"/>
          <w:szCs w:val="16"/>
        </w:rPr>
      </w:pPr>
      <w:r w:rsidRPr="0088338F">
        <w:rPr>
          <w:rFonts w:ascii="Arial" w:hAnsi="Arial" w:cs="Arial"/>
          <w:sz w:val="20"/>
          <w:szCs w:val="20"/>
        </w:rPr>
        <w:t>Nasledujúci prehľad obsahuje podrobný rozpis úverov poskytnutých klientom podľa typu pohľadávky a</w:t>
      </w:r>
      <w:r w:rsidR="00F04D78" w:rsidRPr="0088338F">
        <w:rPr>
          <w:rFonts w:ascii="Arial" w:hAnsi="Arial" w:cs="Arial"/>
          <w:sz w:val="20"/>
          <w:szCs w:val="20"/>
        </w:rPr>
        <w:t> </w:t>
      </w:r>
      <w:r w:rsidRPr="0088338F">
        <w:rPr>
          <w:rFonts w:ascii="Arial" w:hAnsi="Arial" w:cs="Arial"/>
          <w:sz w:val="20"/>
          <w:szCs w:val="20"/>
        </w:rPr>
        <w:t>úrovne rizík identifikovaných v úverovom portfóliu banky k 31. decembru 20</w:t>
      </w:r>
      <w:r w:rsidR="00F3754A" w:rsidRPr="0088338F">
        <w:rPr>
          <w:rFonts w:ascii="Arial" w:hAnsi="Arial" w:cs="Arial"/>
          <w:sz w:val="20"/>
          <w:szCs w:val="20"/>
        </w:rPr>
        <w:t>1</w:t>
      </w:r>
      <w:r w:rsidR="00B17B44" w:rsidRPr="0088338F">
        <w:rPr>
          <w:rFonts w:ascii="Arial" w:hAnsi="Arial" w:cs="Arial"/>
          <w:sz w:val="20"/>
          <w:szCs w:val="20"/>
        </w:rPr>
        <w:t>5</w:t>
      </w:r>
      <w:r w:rsidRPr="0088338F">
        <w:rPr>
          <w:rFonts w:ascii="Arial" w:hAnsi="Arial" w:cs="Arial"/>
          <w:sz w:val="20"/>
          <w:szCs w:val="20"/>
        </w:rPr>
        <w:t>. Informácie o</w:t>
      </w:r>
      <w:r w:rsidR="00F04D78" w:rsidRPr="0088338F">
        <w:rPr>
          <w:rFonts w:ascii="Arial" w:hAnsi="Arial" w:cs="Arial"/>
          <w:sz w:val="20"/>
          <w:szCs w:val="20"/>
        </w:rPr>
        <w:t> </w:t>
      </w:r>
      <w:r w:rsidRPr="0088338F">
        <w:rPr>
          <w:rFonts w:ascii="Arial" w:hAnsi="Arial" w:cs="Arial"/>
          <w:sz w:val="20"/>
          <w:szCs w:val="20"/>
        </w:rPr>
        <w:t xml:space="preserve">angažovanostiach zahŕňajú </w:t>
      </w:r>
      <w:r w:rsidR="001361E0" w:rsidRPr="0088338F">
        <w:rPr>
          <w:rFonts w:ascii="Arial" w:hAnsi="Arial" w:cs="Arial"/>
          <w:sz w:val="20"/>
          <w:szCs w:val="20"/>
        </w:rPr>
        <w:t>nevyčerpané úverové rámce</w:t>
      </w:r>
      <w:r w:rsidRPr="0088338F">
        <w:rPr>
          <w:rFonts w:ascii="Arial" w:hAnsi="Arial" w:cs="Arial"/>
          <w:sz w:val="20"/>
          <w:szCs w:val="20"/>
        </w:rPr>
        <w:t xml:space="preserve"> a vydané záruky</w:t>
      </w:r>
      <w:r w:rsidR="00AF3D8D" w:rsidRPr="0088338F">
        <w:rPr>
          <w:rFonts w:ascii="Arial" w:hAnsi="Arial" w:cs="Arial"/>
          <w:sz w:val="20"/>
          <w:szCs w:val="20"/>
        </w:rPr>
        <w:t>.</w:t>
      </w:r>
    </w:p>
    <w:p w14:paraId="055241D4" w14:textId="0E67EE7E" w:rsidR="00446C3C" w:rsidRPr="0088338F" w:rsidRDefault="00B17B44" w:rsidP="00F7567F">
      <w:pPr>
        <w:jc w:val="both"/>
        <w:rPr>
          <w:rFonts w:ascii="Arial" w:hAnsi="Arial" w:cs="Arial"/>
          <w:b/>
          <w:caps/>
          <w:sz w:val="10"/>
          <w:szCs w:val="10"/>
        </w:rPr>
      </w:pPr>
      <w:r w:rsidRPr="0088338F">
        <w:object w:dxaOrig="11290" w:dyaOrig="5736" w14:anchorId="1C5BF237">
          <v:shape id="_x0000_i1035" type="#_x0000_t75" style="width:467.4pt;height:263.4pt" o:ole="">
            <v:imagedata r:id="rId45" o:title=""/>
          </v:shape>
          <o:OLEObject Type="Embed" ProgID="Excel.Sheet.8" ShapeID="_x0000_i1035" DrawAspect="Content" ObjectID="_1551591536" r:id="rId46"/>
        </w:object>
      </w:r>
    </w:p>
    <w:p w14:paraId="3FB4053B" w14:textId="77777777" w:rsidR="00446C3C" w:rsidRPr="0088338F" w:rsidRDefault="00CE2DCA" w:rsidP="00446C3C">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br w:type="page"/>
      </w:r>
      <w:r w:rsidR="00446C3C" w:rsidRPr="0088338F">
        <w:rPr>
          <w:rFonts w:ascii="Arial" w:hAnsi="Arial" w:cs="Arial"/>
          <w:b/>
          <w:caps/>
          <w:sz w:val="20"/>
          <w:szCs w:val="20"/>
        </w:rPr>
        <w:lastRenderedPageBreak/>
        <w:t>Opravné položky</w:t>
      </w:r>
    </w:p>
    <w:bookmarkStart w:id="404" w:name="_MON_1461477056"/>
    <w:bookmarkStart w:id="405" w:name="_MON_1466419434"/>
    <w:bookmarkStart w:id="406" w:name="_MON_1466419456"/>
    <w:bookmarkStart w:id="407" w:name="_MON_1466420330"/>
    <w:bookmarkStart w:id="408" w:name="_MON_1466420785"/>
    <w:bookmarkStart w:id="409" w:name="_MON_1466421183"/>
    <w:bookmarkStart w:id="410" w:name="_MON_1466421811"/>
    <w:bookmarkStart w:id="411" w:name="_MON_1466422052"/>
    <w:bookmarkStart w:id="412" w:name="_MON_1387448012"/>
    <w:bookmarkStart w:id="413" w:name="_MON_1387461571"/>
    <w:bookmarkStart w:id="414" w:name="_MON_1387523919"/>
    <w:bookmarkStart w:id="415" w:name="_MON_1394969168"/>
    <w:bookmarkStart w:id="416" w:name="_MON_1395042722"/>
    <w:bookmarkStart w:id="417" w:name="_MON_1395644063"/>
    <w:bookmarkStart w:id="418" w:name="_MON_1395657152"/>
    <w:bookmarkStart w:id="419" w:name="_MON_1395657203"/>
    <w:bookmarkStart w:id="420" w:name="_MON_1395657306"/>
    <w:bookmarkStart w:id="421" w:name="_MON_1395657406"/>
    <w:bookmarkStart w:id="422" w:name="_MON_1395657488"/>
    <w:bookmarkStart w:id="423" w:name="_MON_1395908655"/>
    <w:bookmarkStart w:id="424" w:name="_MON_1396079312"/>
    <w:bookmarkStart w:id="425" w:name="_MON_1396085460"/>
    <w:bookmarkStart w:id="426" w:name="_MON_1396090656"/>
    <w:bookmarkStart w:id="427" w:name="_MON_1424759794"/>
    <w:bookmarkStart w:id="428" w:name="_MON_1426835811"/>
    <w:bookmarkStart w:id="429" w:name="_MON_1426836305"/>
    <w:bookmarkStart w:id="430" w:name="_MON_1426836513"/>
    <w:bookmarkStart w:id="431" w:name="_MON_1426836536"/>
    <w:bookmarkStart w:id="432" w:name="_MON_1427003544"/>
    <w:bookmarkStart w:id="433" w:name="_MON_1427010264"/>
    <w:bookmarkStart w:id="434" w:name="_MON_1427099614"/>
    <w:bookmarkStart w:id="435" w:name="_MON_1427099685"/>
    <w:bookmarkStart w:id="436" w:name="_MON_1427109849"/>
    <w:bookmarkStart w:id="437" w:name="_MON_1427621567"/>
    <w:bookmarkStart w:id="438" w:name="_MON_1456739478"/>
    <w:bookmarkStart w:id="439" w:name="_MON_1456739513"/>
    <w:bookmarkStart w:id="440" w:name="_MON_1458628671"/>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Start w:id="441" w:name="_MON_1458629171"/>
    <w:bookmarkEnd w:id="441"/>
    <w:p w14:paraId="78399082" w14:textId="27D9C705" w:rsidR="001913ED" w:rsidRPr="0088338F" w:rsidRDefault="0088338F" w:rsidP="003C18A9">
      <w:pPr>
        <w:jc w:val="both"/>
        <w:rPr>
          <w:rFonts w:ascii="Arial" w:hAnsi="Arial" w:cs="Arial"/>
        </w:rPr>
      </w:pPr>
      <w:r w:rsidRPr="0088338F">
        <w:rPr>
          <w:rFonts w:ascii="Arial" w:hAnsi="Arial" w:cs="Arial"/>
        </w:rPr>
        <w:object w:dxaOrig="9757" w:dyaOrig="2275" w14:anchorId="481B75F6">
          <v:shape id="_x0000_i1036" type="#_x0000_t75" style="width:456pt;height:117pt" o:ole="" o:preferrelative="f">
            <v:imagedata r:id="rId47" o:title=""/>
            <o:lock v:ext="edit" aspectratio="f"/>
          </v:shape>
          <o:OLEObject Type="Embed" ProgID="Excel.Sheet.8" ShapeID="_x0000_i1036" DrawAspect="Content" ObjectID="_1551591537" r:id="rId48"/>
        </w:object>
      </w:r>
    </w:p>
    <w:p w14:paraId="5369B087" w14:textId="77777777" w:rsidR="00D96D0F" w:rsidRPr="0088338F" w:rsidRDefault="00D96D0F" w:rsidP="003C18A9">
      <w:pPr>
        <w:jc w:val="both"/>
        <w:rPr>
          <w:rFonts w:ascii="Arial" w:hAnsi="Arial" w:cs="Arial"/>
          <w:sz w:val="20"/>
          <w:szCs w:val="20"/>
        </w:rPr>
      </w:pPr>
    </w:p>
    <w:bookmarkStart w:id="442" w:name="_MON_1519405918"/>
    <w:bookmarkEnd w:id="442"/>
    <w:p w14:paraId="18A61B10" w14:textId="0B42461F" w:rsidR="00D96D0F" w:rsidRPr="0088338F" w:rsidRDefault="0088338F" w:rsidP="003C18A9">
      <w:pPr>
        <w:jc w:val="both"/>
        <w:rPr>
          <w:rFonts w:ascii="Arial" w:hAnsi="Arial" w:cs="Arial"/>
          <w:sz w:val="20"/>
          <w:szCs w:val="20"/>
        </w:rPr>
      </w:pPr>
      <w:r w:rsidRPr="0088338F">
        <w:rPr>
          <w:rFonts w:ascii="Arial" w:hAnsi="Arial" w:cs="Arial"/>
        </w:rPr>
        <w:object w:dxaOrig="9789" w:dyaOrig="2275" w14:anchorId="634DDC8D">
          <v:shape id="_x0000_i1037" type="#_x0000_t75" style="width:456.6pt;height:117pt" o:ole="" o:preferrelative="f">
            <v:imagedata r:id="rId49" o:title=""/>
            <o:lock v:ext="edit" aspectratio="f"/>
          </v:shape>
          <o:OLEObject Type="Embed" ProgID="Excel.Sheet.8" ShapeID="_x0000_i1037" DrawAspect="Content" ObjectID="_1551591538" r:id="rId50"/>
        </w:object>
      </w:r>
    </w:p>
    <w:p w14:paraId="3768FD7E" w14:textId="77777777" w:rsidR="00C86712" w:rsidRPr="0088338F" w:rsidRDefault="00C86712" w:rsidP="003C18A9">
      <w:pPr>
        <w:jc w:val="both"/>
        <w:rPr>
          <w:rFonts w:ascii="Arial" w:hAnsi="Arial" w:cs="Arial"/>
          <w:sz w:val="20"/>
          <w:szCs w:val="20"/>
        </w:rPr>
      </w:pPr>
    </w:p>
    <w:p w14:paraId="51D1ABF4" w14:textId="77777777" w:rsidR="00C86712" w:rsidRPr="0088338F" w:rsidRDefault="00C86712" w:rsidP="003C18A9">
      <w:pPr>
        <w:jc w:val="both"/>
        <w:rPr>
          <w:rFonts w:ascii="Arial" w:hAnsi="Arial" w:cs="Arial"/>
          <w:sz w:val="20"/>
          <w:szCs w:val="20"/>
        </w:rPr>
      </w:pPr>
    </w:p>
    <w:p w14:paraId="73BEA008" w14:textId="77777777" w:rsidR="00B37DA2" w:rsidRPr="0088338F" w:rsidRDefault="00B37DA2"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cenné papiere k dispozícii na predaj</w:t>
      </w:r>
    </w:p>
    <w:p w14:paraId="730E3E6D" w14:textId="77777777" w:rsidR="00B37DA2" w:rsidRPr="0088338F" w:rsidRDefault="00B37DA2" w:rsidP="003C18A9">
      <w:pPr>
        <w:jc w:val="both"/>
        <w:rPr>
          <w:rFonts w:ascii="Arial" w:hAnsi="Arial" w:cs="Arial"/>
          <w:sz w:val="20"/>
          <w:szCs w:val="20"/>
        </w:rPr>
      </w:pPr>
    </w:p>
    <w:p w14:paraId="047DCE9E" w14:textId="4B8FEE91" w:rsidR="007F7FF4" w:rsidRPr="0088338F" w:rsidRDefault="007F7FF4" w:rsidP="003C18A9">
      <w:pPr>
        <w:jc w:val="both"/>
        <w:rPr>
          <w:rFonts w:ascii="Arial" w:hAnsi="Arial" w:cs="Arial"/>
          <w:sz w:val="20"/>
          <w:szCs w:val="20"/>
        </w:rPr>
      </w:pPr>
      <w:r w:rsidRPr="0088338F">
        <w:rPr>
          <w:rFonts w:ascii="Arial" w:hAnsi="Arial" w:cs="Arial"/>
          <w:sz w:val="20"/>
          <w:szCs w:val="20"/>
        </w:rPr>
        <w:t xml:space="preserve">Členenie cenných papierov k dispozícii na predaj podľa druhu </w:t>
      </w:r>
      <w:r w:rsidR="00E82387" w:rsidRPr="0088338F">
        <w:rPr>
          <w:rFonts w:ascii="Arial" w:hAnsi="Arial" w:cs="Arial"/>
          <w:sz w:val="20"/>
          <w:szCs w:val="20"/>
        </w:rPr>
        <w:t xml:space="preserve">cenného papiera </w:t>
      </w:r>
      <w:r w:rsidR="006470D5" w:rsidRPr="0088338F">
        <w:rPr>
          <w:rFonts w:ascii="Arial" w:hAnsi="Arial" w:cs="Arial"/>
          <w:sz w:val="20"/>
          <w:szCs w:val="20"/>
        </w:rPr>
        <w:t>a krajiny emitenta k 31. </w:t>
      </w:r>
      <w:r w:rsidRPr="0088338F">
        <w:rPr>
          <w:rFonts w:ascii="Arial" w:hAnsi="Arial" w:cs="Arial"/>
          <w:sz w:val="20"/>
          <w:szCs w:val="20"/>
        </w:rPr>
        <w:t>decembru 201</w:t>
      </w:r>
      <w:r w:rsidR="00D645BB" w:rsidRPr="0088338F">
        <w:rPr>
          <w:rFonts w:ascii="Arial" w:hAnsi="Arial" w:cs="Arial"/>
          <w:sz w:val="20"/>
          <w:szCs w:val="20"/>
        </w:rPr>
        <w:t>6</w:t>
      </w:r>
      <w:r w:rsidRPr="0088338F">
        <w:rPr>
          <w:rFonts w:ascii="Arial" w:hAnsi="Arial" w:cs="Arial"/>
          <w:sz w:val="20"/>
          <w:szCs w:val="20"/>
        </w:rPr>
        <w:t xml:space="preserve"> je nasledovné:</w:t>
      </w:r>
    </w:p>
    <w:p w14:paraId="696C2FFB" w14:textId="77777777" w:rsidR="007F7FF4" w:rsidRPr="0088338F" w:rsidRDefault="007F7FF4" w:rsidP="003C18A9">
      <w:pPr>
        <w:jc w:val="both"/>
        <w:rPr>
          <w:rFonts w:ascii="Arial" w:hAnsi="Arial" w:cs="Arial"/>
          <w:sz w:val="20"/>
          <w:szCs w:val="20"/>
        </w:rPr>
      </w:pPr>
    </w:p>
    <w:bookmarkStart w:id="443" w:name="_MON_1426839402"/>
    <w:bookmarkStart w:id="444" w:name="_MON_1426839430"/>
    <w:bookmarkStart w:id="445" w:name="_MON_1426839733"/>
    <w:bookmarkStart w:id="446" w:name="_MON_1426840171"/>
    <w:bookmarkStart w:id="447" w:name="_MON_1430811409"/>
    <w:bookmarkStart w:id="448" w:name="_MON_1434811175"/>
    <w:bookmarkStart w:id="449" w:name="_MON_1434811375"/>
    <w:bookmarkStart w:id="450" w:name="_MON_1434811717"/>
    <w:bookmarkStart w:id="451" w:name="_MON_1441023491"/>
    <w:bookmarkStart w:id="452" w:name="_MON_1442834551"/>
    <w:bookmarkStart w:id="453" w:name="_MON_1442834742"/>
    <w:bookmarkStart w:id="454" w:name="_MON_1442835118"/>
    <w:bookmarkStart w:id="455" w:name="_MON_1442835407"/>
    <w:bookmarkStart w:id="456" w:name="_MON_1446450328"/>
    <w:bookmarkStart w:id="457" w:name="_MON_1451136557"/>
    <w:bookmarkStart w:id="458" w:name="_MON_1451136662"/>
    <w:bookmarkStart w:id="459" w:name="_MON_1453787749"/>
    <w:bookmarkStart w:id="460" w:name="_MON_1454226002"/>
    <w:bookmarkStart w:id="461" w:name="_MON_1454226013"/>
    <w:bookmarkStart w:id="462" w:name="_MON_1454226021"/>
    <w:bookmarkStart w:id="463" w:name="_MON_1456739761"/>
    <w:bookmarkStart w:id="464" w:name="_MON_1458624617"/>
    <w:bookmarkStart w:id="465" w:name="_MON_1458624709"/>
    <w:bookmarkStart w:id="466" w:name="_MON_1458624794"/>
    <w:bookmarkStart w:id="467" w:name="_MON_1426838948"/>
    <w:bookmarkStart w:id="468" w:name="_MON_142683900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Start w:id="469" w:name="_MON_1426839200"/>
    <w:bookmarkEnd w:id="469"/>
    <w:p w14:paraId="76798CF1" w14:textId="0E319375" w:rsidR="007F7FF4" w:rsidRPr="0088338F" w:rsidRDefault="00E071FE" w:rsidP="003C18A9">
      <w:pPr>
        <w:jc w:val="both"/>
        <w:rPr>
          <w:rFonts w:ascii="Arial" w:hAnsi="Arial" w:cs="Arial"/>
          <w:sz w:val="20"/>
          <w:szCs w:val="20"/>
        </w:rPr>
      </w:pPr>
      <w:r w:rsidRPr="0088338F">
        <w:object w:dxaOrig="10694" w:dyaOrig="4746" w14:anchorId="7B4E842C">
          <v:shape id="_x0000_i1038" type="#_x0000_t75" style="width:459.6pt;height:247.8pt" o:ole="">
            <v:imagedata r:id="rId51" o:title=""/>
          </v:shape>
          <o:OLEObject Type="Embed" ProgID="Excel.Sheet.8" ShapeID="_x0000_i1038" DrawAspect="Content" ObjectID="_1551591539" r:id="rId52"/>
        </w:object>
      </w:r>
    </w:p>
    <w:p w14:paraId="3020F4CF" w14:textId="77777777" w:rsidR="00075098" w:rsidRPr="0088338F" w:rsidRDefault="00075098" w:rsidP="00E82387">
      <w:pPr>
        <w:jc w:val="both"/>
        <w:rPr>
          <w:rFonts w:ascii="Arial" w:hAnsi="Arial" w:cs="Arial"/>
          <w:sz w:val="20"/>
          <w:szCs w:val="20"/>
        </w:rPr>
      </w:pPr>
    </w:p>
    <w:p w14:paraId="7B5C7B64" w14:textId="77777777" w:rsidR="00DD4B99" w:rsidRPr="0088338F" w:rsidRDefault="00DD4B99" w:rsidP="00E82387">
      <w:pPr>
        <w:jc w:val="both"/>
        <w:rPr>
          <w:rFonts w:ascii="Arial" w:hAnsi="Arial" w:cs="Arial"/>
          <w:sz w:val="20"/>
          <w:szCs w:val="20"/>
        </w:rPr>
      </w:pPr>
    </w:p>
    <w:p w14:paraId="25F6B57F" w14:textId="326EAC3B" w:rsidR="00E82387" w:rsidRPr="0088338F" w:rsidRDefault="00B46B01" w:rsidP="00E82387">
      <w:pPr>
        <w:jc w:val="both"/>
        <w:rPr>
          <w:rFonts w:ascii="Arial" w:hAnsi="Arial" w:cs="Arial"/>
          <w:sz w:val="20"/>
          <w:szCs w:val="20"/>
        </w:rPr>
      </w:pPr>
      <w:r w:rsidRPr="0088338F">
        <w:rPr>
          <w:rFonts w:ascii="Arial" w:hAnsi="Arial" w:cs="Arial"/>
          <w:sz w:val="20"/>
          <w:szCs w:val="20"/>
        </w:rPr>
        <w:br w:type="page"/>
      </w:r>
      <w:r w:rsidR="00E82387" w:rsidRPr="0088338F">
        <w:rPr>
          <w:rFonts w:ascii="Arial" w:hAnsi="Arial" w:cs="Arial"/>
          <w:sz w:val="20"/>
          <w:szCs w:val="20"/>
        </w:rPr>
        <w:lastRenderedPageBreak/>
        <w:t>Členenie cenných papierov k dispozícii na predaj podľa druhu cenného papiera a krajiny emitenta k 31. decembru 201</w:t>
      </w:r>
      <w:r w:rsidR="00D645BB" w:rsidRPr="0088338F">
        <w:rPr>
          <w:rFonts w:ascii="Arial" w:hAnsi="Arial" w:cs="Arial"/>
          <w:sz w:val="20"/>
          <w:szCs w:val="20"/>
        </w:rPr>
        <w:t>5</w:t>
      </w:r>
      <w:r w:rsidR="00E82387" w:rsidRPr="0088338F">
        <w:rPr>
          <w:rFonts w:ascii="Arial" w:hAnsi="Arial" w:cs="Arial"/>
          <w:sz w:val="20"/>
          <w:szCs w:val="20"/>
        </w:rPr>
        <w:t xml:space="preserve"> je nasledovné:</w:t>
      </w:r>
    </w:p>
    <w:p w14:paraId="049DA0E2" w14:textId="46D3BB82" w:rsidR="009956AF" w:rsidRPr="0088338F" w:rsidRDefault="00D645BB" w:rsidP="003C18A9">
      <w:pPr>
        <w:jc w:val="both"/>
      </w:pPr>
      <w:r w:rsidRPr="0088338F">
        <w:object w:dxaOrig="10694" w:dyaOrig="4994" w14:anchorId="51E12EF8">
          <v:shape id="_x0000_i1039" type="#_x0000_t75" style="width:459.6pt;height:261pt" o:ole="">
            <v:imagedata r:id="rId53" o:title=""/>
          </v:shape>
          <o:OLEObject Type="Embed" ProgID="Excel.Sheet.8" ShapeID="_x0000_i1039" DrawAspect="Content" ObjectID="_1551591540" r:id="rId54"/>
        </w:object>
      </w:r>
    </w:p>
    <w:p w14:paraId="2E31A61D" w14:textId="77777777" w:rsidR="00E431C5" w:rsidRPr="0088338F" w:rsidRDefault="00E431C5" w:rsidP="003C18A9">
      <w:pPr>
        <w:jc w:val="both"/>
        <w:rPr>
          <w:rFonts w:ascii="Arial" w:hAnsi="Arial" w:cs="Arial"/>
          <w:sz w:val="14"/>
          <w:szCs w:val="14"/>
        </w:rPr>
      </w:pPr>
    </w:p>
    <w:p w14:paraId="41BE8039" w14:textId="77777777" w:rsidR="00080221" w:rsidRPr="0088338F" w:rsidRDefault="00080221" w:rsidP="003C18A9">
      <w:pPr>
        <w:jc w:val="both"/>
        <w:rPr>
          <w:rFonts w:ascii="Arial" w:hAnsi="Arial" w:cs="Arial"/>
          <w:sz w:val="20"/>
          <w:szCs w:val="20"/>
        </w:rPr>
      </w:pPr>
      <w:r w:rsidRPr="0088338F">
        <w:rPr>
          <w:rFonts w:ascii="Arial" w:hAnsi="Arial" w:cs="Arial"/>
          <w:sz w:val="20"/>
          <w:szCs w:val="20"/>
        </w:rPr>
        <w:t xml:space="preserve">Spôsob stanovenia </w:t>
      </w:r>
      <w:r w:rsidR="004053AC" w:rsidRPr="0088338F">
        <w:rPr>
          <w:rFonts w:ascii="Arial" w:hAnsi="Arial" w:cs="Arial"/>
          <w:sz w:val="20"/>
          <w:szCs w:val="20"/>
        </w:rPr>
        <w:t>reálnej hodnoty cenných papierov k dispozícii na predaj je popísaný v</w:t>
      </w:r>
      <w:r w:rsidR="00277FE0" w:rsidRPr="0088338F">
        <w:rPr>
          <w:rFonts w:ascii="Arial" w:hAnsi="Arial" w:cs="Arial"/>
          <w:sz w:val="20"/>
          <w:szCs w:val="20"/>
        </w:rPr>
        <w:t> pozn.</w:t>
      </w:r>
      <w:r w:rsidR="004053AC" w:rsidRPr="0088338F">
        <w:rPr>
          <w:rFonts w:ascii="Arial" w:hAnsi="Arial" w:cs="Arial"/>
          <w:sz w:val="20"/>
          <w:szCs w:val="20"/>
        </w:rPr>
        <w:t xml:space="preserve"> </w:t>
      </w:r>
      <w:r w:rsidR="00F07057" w:rsidRPr="0088338F">
        <w:rPr>
          <w:rFonts w:ascii="Arial" w:hAnsi="Arial" w:cs="Arial"/>
          <w:sz w:val="20"/>
          <w:szCs w:val="20"/>
        </w:rPr>
        <w:t>4</w:t>
      </w:r>
      <w:r w:rsidR="00706DFB" w:rsidRPr="0088338F">
        <w:rPr>
          <w:rFonts w:ascii="Arial" w:hAnsi="Arial" w:cs="Arial"/>
          <w:sz w:val="20"/>
          <w:szCs w:val="20"/>
        </w:rPr>
        <w:t>3</w:t>
      </w:r>
      <w:r w:rsidR="004053AC" w:rsidRPr="0088338F">
        <w:rPr>
          <w:rFonts w:ascii="Arial" w:hAnsi="Arial" w:cs="Arial"/>
          <w:sz w:val="20"/>
          <w:szCs w:val="20"/>
        </w:rPr>
        <w:t>.</w:t>
      </w:r>
    </w:p>
    <w:p w14:paraId="4449F4CE" w14:textId="77777777" w:rsidR="00C47349" w:rsidRPr="0088338F" w:rsidRDefault="00C47349" w:rsidP="003C18A9">
      <w:pPr>
        <w:jc w:val="both"/>
        <w:rPr>
          <w:rFonts w:ascii="Arial" w:hAnsi="Arial" w:cs="Arial"/>
          <w:bCs/>
          <w:sz w:val="20"/>
          <w:szCs w:val="20"/>
        </w:rPr>
      </w:pPr>
    </w:p>
    <w:p w14:paraId="64416477" w14:textId="4720ACAE" w:rsidR="00FB012A" w:rsidRPr="0088338F" w:rsidRDefault="00FB012A" w:rsidP="005C6B6E">
      <w:pPr>
        <w:jc w:val="both"/>
        <w:rPr>
          <w:rFonts w:ascii="Arial" w:hAnsi="Arial" w:cs="Arial"/>
          <w:sz w:val="20"/>
          <w:szCs w:val="20"/>
        </w:rPr>
      </w:pPr>
      <w:r w:rsidRPr="0088338F">
        <w:rPr>
          <w:rFonts w:ascii="Arial" w:hAnsi="Arial" w:cs="Arial"/>
          <w:sz w:val="20"/>
          <w:szCs w:val="20"/>
        </w:rPr>
        <w:t xml:space="preserve">V súvislosti s presunom </w:t>
      </w:r>
      <w:r w:rsidR="00383EBA" w:rsidRPr="0088338F">
        <w:rPr>
          <w:rFonts w:ascii="Arial" w:hAnsi="Arial" w:cs="Arial"/>
          <w:sz w:val="20"/>
          <w:szCs w:val="20"/>
        </w:rPr>
        <w:t xml:space="preserve">cenných papierov z portfólia </w:t>
      </w:r>
      <w:r w:rsidR="00E7165C" w:rsidRPr="0088338F">
        <w:rPr>
          <w:rFonts w:ascii="Arial" w:hAnsi="Arial" w:cs="Arial"/>
          <w:sz w:val="20"/>
          <w:szCs w:val="20"/>
        </w:rPr>
        <w:t>„</w:t>
      </w:r>
      <w:r w:rsidR="00383EBA" w:rsidRPr="0088338F">
        <w:rPr>
          <w:rFonts w:ascii="Arial" w:hAnsi="Arial" w:cs="Arial"/>
          <w:sz w:val="20"/>
          <w:szCs w:val="20"/>
        </w:rPr>
        <w:t>Cenné papiere k dispozícii na predaj“ do portfólia „Cenné papiere držané do splatnosti“ v roku 2011</w:t>
      </w:r>
      <w:r w:rsidR="00E7165C" w:rsidRPr="0088338F">
        <w:rPr>
          <w:rFonts w:ascii="Arial" w:hAnsi="Arial" w:cs="Arial"/>
          <w:sz w:val="20"/>
          <w:szCs w:val="20"/>
        </w:rPr>
        <w:t>,</w:t>
      </w:r>
      <w:r w:rsidR="00383EBA" w:rsidRPr="0088338F">
        <w:rPr>
          <w:rFonts w:ascii="Arial" w:hAnsi="Arial" w:cs="Arial"/>
          <w:sz w:val="20"/>
          <w:szCs w:val="20"/>
        </w:rPr>
        <w:t xml:space="preserve"> </w:t>
      </w:r>
      <w:r w:rsidRPr="0088338F">
        <w:rPr>
          <w:rFonts w:ascii="Arial" w:hAnsi="Arial" w:cs="Arial"/>
          <w:sz w:val="20"/>
          <w:szCs w:val="20"/>
        </w:rPr>
        <w:t xml:space="preserve">banka aj naďalej vykazuje </w:t>
      </w:r>
      <w:r w:rsidR="00D7583E" w:rsidRPr="0088338F">
        <w:rPr>
          <w:rFonts w:ascii="Arial" w:hAnsi="Arial" w:cs="Arial"/>
          <w:sz w:val="20"/>
          <w:szCs w:val="20"/>
        </w:rPr>
        <w:t>k 31. decembru 201</w:t>
      </w:r>
      <w:r w:rsidR="00D645BB" w:rsidRPr="0088338F">
        <w:rPr>
          <w:rFonts w:ascii="Arial" w:hAnsi="Arial" w:cs="Arial"/>
          <w:sz w:val="20"/>
          <w:szCs w:val="20"/>
        </w:rPr>
        <w:t>6</w:t>
      </w:r>
      <w:r w:rsidR="00D7583E" w:rsidRPr="0088338F">
        <w:rPr>
          <w:rFonts w:ascii="Arial" w:hAnsi="Arial" w:cs="Arial"/>
          <w:sz w:val="20"/>
          <w:szCs w:val="20"/>
        </w:rPr>
        <w:t xml:space="preserve"> </w:t>
      </w:r>
      <w:r w:rsidRPr="0088338F">
        <w:rPr>
          <w:rFonts w:ascii="Arial" w:hAnsi="Arial" w:cs="Arial"/>
          <w:sz w:val="20"/>
          <w:szCs w:val="20"/>
        </w:rPr>
        <w:t xml:space="preserve">vo vlastnom imaní oceňovacie rozdiely z cenných papierov k dispozícii na predaj vo výške </w:t>
      </w:r>
      <w:r w:rsidR="00E071FE" w:rsidRPr="0088338F">
        <w:rPr>
          <w:rFonts w:ascii="Arial" w:hAnsi="Arial" w:cs="Arial"/>
          <w:sz w:val="20"/>
          <w:szCs w:val="20"/>
        </w:rPr>
        <w:t>24</w:t>
      </w:r>
      <w:r w:rsidR="00D5587E" w:rsidRPr="0088338F">
        <w:rPr>
          <w:rFonts w:ascii="Arial" w:hAnsi="Arial" w:cs="Arial"/>
          <w:sz w:val="20"/>
          <w:szCs w:val="20"/>
        </w:rPr>
        <w:t xml:space="preserve"> </w:t>
      </w:r>
      <w:r w:rsidRPr="0088338F">
        <w:rPr>
          <w:rFonts w:ascii="Arial" w:hAnsi="Arial" w:cs="Arial"/>
          <w:sz w:val="20"/>
          <w:szCs w:val="20"/>
        </w:rPr>
        <w:t>tis. E</w:t>
      </w:r>
      <w:r w:rsidR="003147BF" w:rsidRPr="0088338F">
        <w:rPr>
          <w:rFonts w:ascii="Arial" w:hAnsi="Arial" w:cs="Arial"/>
          <w:sz w:val="20"/>
          <w:szCs w:val="20"/>
        </w:rPr>
        <w:t>UR</w:t>
      </w:r>
      <w:r w:rsidR="00585951" w:rsidRPr="0088338F">
        <w:rPr>
          <w:rFonts w:ascii="Arial" w:hAnsi="Arial" w:cs="Arial"/>
          <w:sz w:val="20"/>
          <w:szCs w:val="20"/>
        </w:rPr>
        <w:t xml:space="preserve"> </w:t>
      </w:r>
      <w:r w:rsidR="00677BB8" w:rsidRPr="0088338F">
        <w:rPr>
          <w:rFonts w:ascii="Arial" w:hAnsi="Arial" w:cs="Arial"/>
          <w:sz w:val="20"/>
          <w:szCs w:val="20"/>
        </w:rPr>
        <w:t>(strata)</w:t>
      </w:r>
      <w:r w:rsidRPr="0088338F">
        <w:rPr>
          <w:rFonts w:ascii="Arial" w:hAnsi="Arial" w:cs="Arial"/>
          <w:sz w:val="20"/>
          <w:szCs w:val="20"/>
        </w:rPr>
        <w:t>, ktorá bude amortizovaná do výkazu ziskov a strát až do splatnosti týchto cenných papierov</w:t>
      </w:r>
      <w:r w:rsidR="00585951" w:rsidRPr="0088338F">
        <w:rPr>
          <w:rFonts w:ascii="Arial" w:hAnsi="Arial" w:cs="Arial"/>
          <w:sz w:val="20"/>
          <w:szCs w:val="20"/>
        </w:rPr>
        <w:t xml:space="preserve"> (201</w:t>
      </w:r>
      <w:r w:rsidR="00D645BB" w:rsidRPr="0088338F">
        <w:rPr>
          <w:rFonts w:ascii="Arial" w:hAnsi="Arial" w:cs="Arial"/>
          <w:sz w:val="20"/>
          <w:szCs w:val="20"/>
        </w:rPr>
        <w:t>5</w:t>
      </w:r>
      <w:r w:rsidR="00585951" w:rsidRPr="0088338F">
        <w:rPr>
          <w:rFonts w:ascii="Arial" w:hAnsi="Arial" w:cs="Arial"/>
          <w:sz w:val="20"/>
          <w:szCs w:val="20"/>
        </w:rPr>
        <w:t xml:space="preserve">: strata </w:t>
      </w:r>
      <w:r w:rsidR="00D645BB" w:rsidRPr="0088338F">
        <w:rPr>
          <w:rFonts w:ascii="Arial" w:hAnsi="Arial" w:cs="Arial"/>
          <w:sz w:val="20"/>
          <w:szCs w:val="20"/>
        </w:rPr>
        <w:t>35</w:t>
      </w:r>
      <w:r w:rsidR="00585951" w:rsidRPr="0088338F">
        <w:rPr>
          <w:rFonts w:ascii="Arial" w:hAnsi="Arial" w:cs="Arial"/>
          <w:sz w:val="20"/>
          <w:szCs w:val="20"/>
        </w:rPr>
        <w:t xml:space="preserve"> tis. EUR)</w:t>
      </w:r>
      <w:r w:rsidRPr="0088338F">
        <w:rPr>
          <w:rFonts w:ascii="Arial" w:hAnsi="Arial" w:cs="Arial"/>
          <w:sz w:val="20"/>
          <w:szCs w:val="20"/>
        </w:rPr>
        <w:t>. V roku 201</w:t>
      </w:r>
      <w:r w:rsidR="00D645BB" w:rsidRPr="0088338F">
        <w:rPr>
          <w:rFonts w:ascii="Arial" w:hAnsi="Arial" w:cs="Arial"/>
          <w:sz w:val="20"/>
          <w:szCs w:val="20"/>
        </w:rPr>
        <w:t>6</w:t>
      </w:r>
      <w:r w:rsidRPr="0088338F">
        <w:rPr>
          <w:rFonts w:ascii="Arial" w:hAnsi="Arial" w:cs="Arial"/>
          <w:sz w:val="20"/>
          <w:szCs w:val="20"/>
        </w:rPr>
        <w:t xml:space="preserve"> bola do výkazu ziskov a strát amortizovaná </w:t>
      </w:r>
      <w:r w:rsidR="00677BB8" w:rsidRPr="0088338F">
        <w:rPr>
          <w:rFonts w:ascii="Arial" w:hAnsi="Arial" w:cs="Arial"/>
          <w:sz w:val="20"/>
          <w:szCs w:val="20"/>
        </w:rPr>
        <w:t>strata v hodnote</w:t>
      </w:r>
      <w:r w:rsidRPr="0088338F">
        <w:rPr>
          <w:rFonts w:ascii="Arial" w:hAnsi="Arial" w:cs="Arial"/>
          <w:sz w:val="20"/>
          <w:szCs w:val="20"/>
        </w:rPr>
        <w:t xml:space="preserve"> </w:t>
      </w:r>
      <w:r w:rsidR="00E071FE" w:rsidRPr="0088338F">
        <w:rPr>
          <w:rFonts w:ascii="Arial" w:hAnsi="Arial" w:cs="Arial"/>
          <w:sz w:val="20"/>
          <w:szCs w:val="20"/>
        </w:rPr>
        <w:t>11</w:t>
      </w:r>
      <w:r w:rsidR="001E4F6C" w:rsidRPr="0088338F">
        <w:rPr>
          <w:rFonts w:ascii="Arial" w:hAnsi="Arial" w:cs="Arial"/>
          <w:sz w:val="20"/>
          <w:szCs w:val="20"/>
        </w:rPr>
        <w:t xml:space="preserve"> tis. E</w:t>
      </w:r>
      <w:r w:rsidR="00585951" w:rsidRPr="0088338F">
        <w:rPr>
          <w:rFonts w:ascii="Arial" w:hAnsi="Arial" w:cs="Arial"/>
          <w:sz w:val="20"/>
          <w:szCs w:val="20"/>
        </w:rPr>
        <w:t>UR (201</w:t>
      </w:r>
      <w:r w:rsidR="00D645BB" w:rsidRPr="0088338F">
        <w:rPr>
          <w:rFonts w:ascii="Arial" w:hAnsi="Arial" w:cs="Arial"/>
          <w:sz w:val="20"/>
          <w:szCs w:val="20"/>
        </w:rPr>
        <w:t>5</w:t>
      </w:r>
      <w:r w:rsidR="00585951" w:rsidRPr="0088338F">
        <w:rPr>
          <w:rFonts w:ascii="Arial" w:hAnsi="Arial" w:cs="Arial"/>
          <w:sz w:val="20"/>
          <w:szCs w:val="20"/>
        </w:rPr>
        <w:t xml:space="preserve">: strata </w:t>
      </w:r>
      <w:r w:rsidR="00D645BB" w:rsidRPr="0088338F">
        <w:rPr>
          <w:rFonts w:ascii="Arial" w:hAnsi="Arial" w:cs="Arial"/>
          <w:sz w:val="20"/>
          <w:szCs w:val="20"/>
        </w:rPr>
        <w:t>86</w:t>
      </w:r>
      <w:r w:rsidR="00585951" w:rsidRPr="0088338F">
        <w:rPr>
          <w:rFonts w:ascii="Arial" w:hAnsi="Arial" w:cs="Arial"/>
          <w:sz w:val="20"/>
          <w:szCs w:val="20"/>
        </w:rPr>
        <w:t xml:space="preserve"> tis. EUR)</w:t>
      </w:r>
      <w:r w:rsidR="001E4F6C" w:rsidRPr="0088338F">
        <w:rPr>
          <w:rFonts w:ascii="Arial" w:hAnsi="Arial" w:cs="Arial"/>
          <w:sz w:val="20"/>
          <w:szCs w:val="20"/>
        </w:rPr>
        <w:t xml:space="preserve"> v položke „</w:t>
      </w:r>
      <w:r w:rsidR="00677BB8" w:rsidRPr="0088338F">
        <w:rPr>
          <w:rFonts w:ascii="Arial" w:hAnsi="Arial" w:cs="Arial"/>
          <w:sz w:val="20"/>
          <w:szCs w:val="20"/>
        </w:rPr>
        <w:t>Úrokové výnosy a obdobné výnosy“</w:t>
      </w:r>
      <w:r w:rsidRPr="0088338F">
        <w:rPr>
          <w:rFonts w:ascii="Arial" w:hAnsi="Arial" w:cs="Arial"/>
          <w:sz w:val="20"/>
          <w:szCs w:val="20"/>
        </w:rPr>
        <w:t>.</w:t>
      </w:r>
    </w:p>
    <w:p w14:paraId="3BB81D12" w14:textId="77777777" w:rsidR="00FB012A" w:rsidRPr="0088338F" w:rsidRDefault="00FB012A" w:rsidP="00FB012A">
      <w:pPr>
        <w:rPr>
          <w:sz w:val="14"/>
          <w:szCs w:val="14"/>
        </w:rPr>
      </w:pPr>
    </w:p>
    <w:p w14:paraId="21400E56" w14:textId="77777777" w:rsidR="00E431C5" w:rsidRPr="0088338F" w:rsidRDefault="00E431C5" w:rsidP="00E431C5">
      <w:pPr>
        <w:jc w:val="both"/>
        <w:rPr>
          <w:rFonts w:ascii="Arial" w:hAnsi="Arial" w:cs="Arial"/>
          <w:bCs/>
          <w:sz w:val="20"/>
          <w:szCs w:val="20"/>
        </w:rPr>
      </w:pPr>
      <w:r w:rsidRPr="0088338F">
        <w:rPr>
          <w:rFonts w:ascii="Arial" w:hAnsi="Arial" w:cs="Arial"/>
          <w:bCs/>
          <w:sz w:val="20"/>
          <w:szCs w:val="20"/>
        </w:rPr>
        <w:t>Štruktúra cenných papierov, ktoré sú poskytnuté ako zábezpeka poolingu voči Národnej banke Slovenska je nasledovná:</w:t>
      </w:r>
    </w:p>
    <w:p w14:paraId="3172C811" w14:textId="77777777" w:rsidR="00E431C5" w:rsidRPr="0088338F" w:rsidRDefault="00E431C5" w:rsidP="00E431C5">
      <w:pPr>
        <w:jc w:val="both"/>
        <w:rPr>
          <w:rFonts w:ascii="Arial" w:hAnsi="Arial" w:cs="Arial"/>
          <w:bCs/>
          <w:sz w:val="20"/>
          <w:szCs w:val="20"/>
        </w:rPr>
      </w:pPr>
    </w:p>
    <w:bookmarkStart w:id="470" w:name="_MON_1466423040"/>
    <w:bookmarkStart w:id="471" w:name="_MON_1466423062"/>
    <w:bookmarkStart w:id="472" w:name="_MON_1458632630"/>
    <w:bookmarkStart w:id="473" w:name="_MON_1458632854"/>
    <w:bookmarkStart w:id="474" w:name="_MON_1458633301"/>
    <w:bookmarkStart w:id="475" w:name="_MON_1458635330"/>
    <w:bookmarkStart w:id="476" w:name="_MON_1461477152"/>
    <w:bookmarkEnd w:id="470"/>
    <w:bookmarkEnd w:id="471"/>
    <w:bookmarkEnd w:id="472"/>
    <w:bookmarkEnd w:id="473"/>
    <w:bookmarkEnd w:id="474"/>
    <w:bookmarkEnd w:id="475"/>
    <w:bookmarkEnd w:id="476"/>
    <w:bookmarkStart w:id="477" w:name="_MON_1466422663"/>
    <w:bookmarkEnd w:id="477"/>
    <w:p w14:paraId="1B721150" w14:textId="3407B9F6" w:rsidR="00E431C5" w:rsidRPr="0088338F" w:rsidRDefault="0033715E" w:rsidP="00E431C5">
      <w:pPr>
        <w:jc w:val="both"/>
        <w:rPr>
          <w:rFonts w:ascii="Arial" w:hAnsi="Arial" w:cs="Arial"/>
        </w:rPr>
      </w:pPr>
      <w:r w:rsidRPr="0088338F">
        <w:rPr>
          <w:rFonts w:ascii="Arial" w:hAnsi="Arial" w:cs="Arial"/>
        </w:rPr>
        <w:object w:dxaOrig="9669" w:dyaOrig="2027" w14:anchorId="7369356A">
          <v:shape id="_x0000_i1040" type="#_x0000_t75" style="width:455.4pt;height:100.8pt" o:ole="" o:preferrelative="f">
            <v:imagedata r:id="rId55" o:title=""/>
            <o:lock v:ext="edit" aspectratio="f"/>
          </v:shape>
          <o:OLEObject Type="Embed" ProgID="Excel.Sheet.8" ShapeID="_x0000_i1040" DrawAspect="Content" ObjectID="_1551591541" r:id="rId56"/>
        </w:object>
      </w:r>
    </w:p>
    <w:p w14:paraId="13D0B535" w14:textId="77777777" w:rsidR="00850D15" w:rsidRPr="0088338F" w:rsidRDefault="00046BEA" w:rsidP="00423FB8">
      <w:pPr>
        <w:jc w:val="both"/>
        <w:rPr>
          <w:rFonts w:ascii="Arial" w:hAnsi="Arial" w:cs="Arial"/>
          <w:bCs/>
          <w:sz w:val="20"/>
          <w:szCs w:val="20"/>
        </w:rPr>
      </w:pPr>
      <w:r w:rsidRPr="0088338F">
        <w:rPr>
          <w:rFonts w:ascii="Arial" w:hAnsi="Arial" w:cs="Arial"/>
          <w:bCs/>
          <w:sz w:val="20"/>
          <w:szCs w:val="20"/>
        </w:rPr>
        <w:t>C</w:t>
      </w:r>
      <w:r w:rsidR="00850D15" w:rsidRPr="0088338F">
        <w:rPr>
          <w:rFonts w:ascii="Arial" w:hAnsi="Arial" w:cs="Arial"/>
          <w:bCs/>
          <w:sz w:val="20"/>
          <w:szCs w:val="20"/>
        </w:rPr>
        <w:t xml:space="preserve">enné papiere </w:t>
      </w:r>
      <w:r w:rsidRPr="0088338F">
        <w:rPr>
          <w:rFonts w:ascii="Arial" w:hAnsi="Arial" w:cs="Arial"/>
          <w:bCs/>
          <w:sz w:val="20"/>
          <w:szCs w:val="20"/>
        </w:rPr>
        <w:t xml:space="preserve">v poole </w:t>
      </w:r>
      <w:r w:rsidR="00850D15" w:rsidRPr="0088338F">
        <w:rPr>
          <w:rFonts w:ascii="Arial" w:hAnsi="Arial" w:cs="Arial"/>
          <w:bCs/>
          <w:sz w:val="20"/>
          <w:szCs w:val="20"/>
        </w:rPr>
        <w:t>slúžia ako zábezpeka na refinančné operácie s</w:t>
      </w:r>
      <w:r w:rsidR="007612F4" w:rsidRPr="0088338F">
        <w:rPr>
          <w:rFonts w:ascii="Arial" w:hAnsi="Arial" w:cs="Arial"/>
          <w:bCs/>
          <w:sz w:val="20"/>
          <w:szCs w:val="20"/>
        </w:rPr>
        <w:t> </w:t>
      </w:r>
      <w:r w:rsidR="00850D15" w:rsidRPr="0088338F">
        <w:rPr>
          <w:rFonts w:ascii="Arial" w:hAnsi="Arial" w:cs="Arial"/>
          <w:bCs/>
          <w:sz w:val="20"/>
          <w:szCs w:val="20"/>
        </w:rPr>
        <w:t>NBS</w:t>
      </w:r>
      <w:r w:rsidR="007612F4" w:rsidRPr="0088338F">
        <w:rPr>
          <w:rFonts w:ascii="Arial" w:hAnsi="Arial" w:cs="Arial"/>
          <w:bCs/>
          <w:sz w:val="20"/>
          <w:szCs w:val="20"/>
        </w:rPr>
        <w:t xml:space="preserve"> a úvery od ECB (pozri pozn. 1</w:t>
      </w:r>
      <w:r w:rsidR="00100BD2" w:rsidRPr="0088338F">
        <w:rPr>
          <w:rFonts w:ascii="Arial" w:hAnsi="Arial" w:cs="Arial"/>
          <w:bCs/>
          <w:sz w:val="20"/>
          <w:szCs w:val="20"/>
        </w:rPr>
        <w:t>5</w:t>
      </w:r>
      <w:r w:rsidR="007612F4" w:rsidRPr="0088338F">
        <w:rPr>
          <w:rFonts w:ascii="Arial" w:hAnsi="Arial" w:cs="Arial"/>
          <w:bCs/>
          <w:sz w:val="20"/>
          <w:szCs w:val="20"/>
        </w:rPr>
        <w:t>)</w:t>
      </w:r>
      <w:r w:rsidR="00850D15" w:rsidRPr="0088338F">
        <w:rPr>
          <w:rFonts w:ascii="Arial" w:hAnsi="Arial" w:cs="Arial"/>
          <w:bCs/>
          <w:sz w:val="20"/>
          <w:szCs w:val="20"/>
        </w:rPr>
        <w:t>.</w:t>
      </w:r>
    </w:p>
    <w:p w14:paraId="48C46A9A" w14:textId="77777777" w:rsidR="00E7165C" w:rsidRPr="0088338F" w:rsidRDefault="00E7165C" w:rsidP="00F3754A">
      <w:pPr>
        <w:jc w:val="both"/>
        <w:rPr>
          <w:rFonts w:ascii="Arial" w:hAnsi="Arial" w:cs="Arial"/>
          <w:bCs/>
          <w:sz w:val="20"/>
          <w:szCs w:val="20"/>
        </w:rPr>
      </w:pPr>
    </w:p>
    <w:p w14:paraId="323A7734" w14:textId="77777777" w:rsidR="00E7165C" w:rsidRPr="0088338F" w:rsidRDefault="00E7165C" w:rsidP="00F3754A">
      <w:pPr>
        <w:jc w:val="both"/>
        <w:rPr>
          <w:rFonts w:ascii="Arial" w:hAnsi="Arial" w:cs="Arial"/>
          <w:bCs/>
          <w:sz w:val="20"/>
          <w:szCs w:val="20"/>
        </w:rPr>
      </w:pPr>
    </w:p>
    <w:p w14:paraId="07FBD6E4" w14:textId="77777777" w:rsidR="00B37DA2" w:rsidRPr="0088338F" w:rsidRDefault="00BC74FC"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br w:type="page"/>
      </w:r>
      <w:r w:rsidR="00B37DA2" w:rsidRPr="0088338F">
        <w:rPr>
          <w:rFonts w:ascii="Arial" w:hAnsi="Arial" w:cs="Arial"/>
          <w:b/>
          <w:caps/>
          <w:sz w:val="20"/>
          <w:szCs w:val="20"/>
        </w:rPr>
        <w:lastRenderedPageBreak/>
        <w:t>cenné papiere vykazované v reálnych hodnotách cez výsledovku</w:t>
      </w:r>
    </w:p>
    <w:p w14:paraId="636FA9DD" w14:textId="77777777" w:rsidR="00B37DA2" w:rsidRPr="0088338F" w:rsidRDefault="00B37DA2" w:rsidP="00B37DA2">
      <w:pPr>
        <w:jc w:val="both"/>
        <w:rPr>
          <w:rFonts w:ascii="Arial" w:hAnsi="Arial" w:cs="Arial"/>
          <w:sz w:val="20"/>
          <w:szCs w:val="20"/>
        </w:rPr>
      </w:pPr>
    </w:p>
    <w:p w14:paraId="203B2CA4" w14:textId="33C273B2" w:rsidR="00866DE8" w:rsidRPr="0088338F" w:rsidRDefault="00866DE8" w:rsidP="00DC2D43">
      <w:pPr>
        <w:jc w:val="both"/>
        <w:rPr>
          <w:rFonts w:ascii="Arial" w:hAnsi="Arial" w:cs="Arial"/>
          <w:sz w:val="20"/>
          <w:szCs w:val="20"/>
        </w:rPr>
      </w:pPr>
      <w:r w:rsidRPr="0088338F">
        <w:rPr>
          <w:rFonts w:ascii="Arial" w:hAnsi="Arial" w:cs="Arial"/>
          <w:sz w:val="20"/>
          <w:szCs w:val="20"/>
        </w:rPr>
        <w:t>Banka nevykazuje k 31. decembru 2016 cenné papiere vykazované v reálnych hodnotách cez výsledovku.</w:t>
      </w:r>
    </w:p>
    <w:p w14:paraId="7AB603F3" w14:textId="77777777" w:rsidR="00866DE8" w:rsidRPr="0088338F" w:rsidRDefault="00866DE8" w:rsidP="00DC2D43">
      <w:pPr>
        <w:jc w:val="both"/>
        <w:rPr>
          <w:rFonts w:ascii="Arial" w:hAnsi="Arial" w:cs="Arial"/>
          <w:sz w:val="20"/>
          <w:szCs w:val="20"/>
        </w:rPr>
      </w:pPr>
    </w:p>
    <w:p w14:paraId="66CE923D" w14:textId="1E491EED" w:rsidR="00DC2D43" w:rsidRPr="0088338F" w:rsidRDefault="00DC2D43" w:rsidP="00DC2D43">
      <w:pPr>
        <w:jc w:val="both"/>
        <w:rPr>
          <w:rFonts w:ascii="Arial" w:hAnsi="Arial" w:cs="Arial"/>
          <w:sz w:val="20"/>
          <w:szCs w:val="20"/>
        </w:rPr>
      </w:pPr>
      <w:r w:rsidRPr="0088338F">
        <w:rPr>
          <w:rFonts w:ascii="Arial" w:hAnsi="Arial" w:cs="Arial"/>
          <w:sz w:val="20"/>
          <w:szCs w:val="20"/>
        </w:rPr>
        <w:t>Členenie cenných papierov vykazovaných v reálnych hodnotách cez výsledovku podľa druhu cenného papiera a krajiny emitenta k 31. decembru 201</w:t>
      </w:r>
      <w:r w:rsidR="00BA5656" w:rsidRPr="0088338F">
        <w:rPr>
          <w:rFonts w:ascii="Arial" w:hAnsi="Arial" w:cs="Arial"/>
          <w:sz w:val="20"/>
          <w:szCs w:val="20"/>
        </w:rPr>
        <w:t>5</w:t>
      </w:r>
      <w:r w:rsidRPr="0088338F">
        <w:rPr>
          <w:rFonts w:ascii="Arial" w:hAnsi="Arial" w:cs="Arial"/>
          <w:sz w:val="20"/>
          <w:szCs w:val="20"/>
        </w:rPr>
        <w:t xml:space="preserve"> je nasledovné:</w:t>
      </w:r>
    </w:p>
    <w:p w14:paraId="1DCD1F28" w14:textId="3EF261B4" w:rsidR="002D6965" w:rsidRPr="0088338F" w:rsidRDefault="00BA5656" w:rsidP="006F4D7D">
      <w:pPr>
        <w:jc w:val="both"/>
        <w:rPr>
          <w:rFonts w:ascii="Arial" w:hAnsi="Arial" w:cs="Arial"/>
          <w:sz w:val="20"/>
          <w:szCs w:val="20"/>
        </w:rPr>
      </w:pPr>
      <w:r w:rsidRPr="0088338F">
        <w:object w:dxaOrig="9542" w:dyaOrig="1532" w14:anchorId="5BAE0B3F">
          <v:shape id="_x0000_i1041" type="#_x0000_t75" style="width:453pt;height:78pt" o:ole="">
            <v:imagedata r:id="rId57" o:title=""/>
          </v:shape>
          <o:OLEObject Type="Embed" ProgID="Excel.Sheet.8" ShapeID="_x0000_i1041" DrawAspect="Content" ObjectID="_1551591542" r:id="rId58"/>
        </w:object>
      </w:r>
    </w:p>
    <w:p w14:paraId="74851CC7" w14:textId="77777777" w:rsidR="00BA5656" w:rsidRPr="0088338F" w:rsidRDefault="00BA5656" w:rsidP="006F4D7D">
      <w:pPr>
        <w:jc w:val="both"/>
        <w:rPr>
          <w:rFonts w:ascii="Arial" w:hAnsi="Arial" w:cs="Arial"/>
          <w:sz w:val="20"/>
          <w:szCs w:val="20"/>
        </w:rPr>
      </w:pPr>
    </w:p>
    <w:p w14:paraId="6130F1B5" w14:textId="77777777" w:rsidR="004053AC" w:rsidRPr="0088338F" w:rsidRDefault="004053AC" w:rsidP="006F4D7D">
      <w:pPr>
        <w:jc w:val="both"/>
        <w:rPr>
          <w:rFonts w:ascii="Arial" w:hAnsi="Arial" w:cs="Arial"/>
          <w:sz w:val="20"/>
          <w:szCs w:val="20"/>
        </w:rPr>
      </w:pPr>
      <w:r w:rsidRPr="0088338F">
        <w:rPr>
          <w:rFonts w:ascii="Arial" w:hAnsi="Arial" w:cs="Arial"/>
          <w:sz w:val="20"/>
          <w:szCs w:val="20"/>
        </w:rPr>
        <w:t>Spôsob stanovenia reálnej hodnoty cenných papierov vykazovaných v reálnych hodnotách cez výsledovku je popísaný v</w:t>
      </w:r>
      <w:r w:rsidR="00277FE0" w:rsidRPr="0088338F">
        <w:rPr>
          <w:rFonts w:ascii="Arial" w:hAnsi="Arial" w:cs="Arial"/>
          <w:sz w:val="20"/>
          <w:szCs w:val="20"/>
        </w:rPr>
        <w:t> pozn.</w:t>
      </w:r>
      <w:r w:rsidRPr="0088338F">
        <w:rPr>
          <w:rFonts w:ascii="Arial" w:hAnsi="Arial" w:cs="Arial"/>
          <w:sz w:val="20"/>
          <w:szCs w:val="20"/>
        </w:rPr>
        <w:t xml:space="preserve"> </w:t>
      </w:r>
      <w:r w:rsidR="00F07057" w:rsidRPr="0088338F">
        <w:rPr>
          <w:rFonts w:ascii="Arial" w:hAnsi="Arial" w:cs="Arial"/>
          <w:sz w:val="20"/>
          <w:szCs w:val="20"/>
        </w:rPr>
        <w:t>4</w:t>
      </w:r>
      <w:r w:rsidR="00457827" w:rsidRPr="0088338F">
        <w:rPr>
          <w:rFonts w:ascii="Arial" w:hAnsi="Arial" w:cs="Arial"/>
          <w:sz w:val="20"/>
          <w:szCs w:val="20"/>
        </w:rPr>
        <w:t>3</w:t>
      </w:r>
      <w:r w:rsidR="00B669F5" w:rsidRPr="0088338F">
        <w:rPr>
          <w:rFonts w:ascii="Arial" w:hAnsi="Arial" w:cs="Arial"/>
          <w:sz w:val="20"/>
          <w:szCs w:val="20"/>
        </w:rPr>
        <w:t>.</w:t>
      </w:r>
    </w:p>
    <w:p w14:paraId="2DB5A517" w14:textId="77777777" w:rsidR="004053AC" w:rsidRPr="0088338F" w:rsidRDefault="004053AC" w:rsidP="006F4D7D">
      <w:pPr>
        <w:jc w:val="both"/>
        <w:rPr>
          <w:rFonts w:ascii="Arial" w:hAnsi="Arial" w:cs="Arial"/>
          <w:sz w:val="20"/>
          <w:szCs w:val="20"/>
        </w:rPr>
      </w:pPr>
    </w:p>
    <w:p w14:paraId="597B1F18" w14:textId="31AE0504" w:rsidR="00755308" w:rsidRPr="0088338F" w:rsidRDefault="00755308" w:rsidP="006F4D7D">
      <w:pPr>
        <w:jc w:val="both"/>
        <w:rPr>
          <w:rFonts w:ascii="Arial" w:hAnsi="Arial" w:cs="Arial"/>
          <w:sz w:val="20"/>
          <w:szCs w:val="20"/>
        </w:rPr>
      </w:pPr>
    </w:p>
    <w:p w14:paraId="6364C00C" w14:textId="2775D07C" w:rsidR="001D5B46" w:rsidRPr="0088338F" w:rsidRDefault="001D5B46" w:rsidP="001D5B46">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cenné papiere držané do splatnosti</w:t>
      </w:r>
    </w:p>
    <w:p w14:paraId="2B286E84" w14:textId="77777777" w:rsidR="001D5B46" w:rsidRPr="0088338F" w:rsidRDefault="001D5B46" w:rsidP="006F4D7D">
      <w:pPr>
        <w:jc w:val="both"/>
        <w:rPr>
          <w:rFonts w:ascii="Arial" w:hAnsi="Arial" w:cs="Arial"/>
          <w:sz w:val="20"/>
          <w:szCs w:val="20"/>
        </w:rPr>
      </w:pPr>
    </w:p>
    <w:p w14:paraId="492495D8" w14:textId="5731BF63" w:rsidR="004E27CA" w:rsidRPr="0088338F" w:rsidRDefault="004E27CA" w:rsidP="006F4D7D">
      <w:pPr>
        <w:jc w:val="both"/>
        <w:rPr>
          <w:rFonts w:ascii="Arial" w:hAnsi="Arial" w:cs="Arial"/>
          <w:sz w:val="20"/>
          <w:szCs w:val="20"/>
        </w:rPr>
      </w:pPr>
      <w:r w:rsidRPr="0088338F">
        <w:rPr>
          <w:rFonts w:ascii="Arial" w:hAnsi="Arial" w:cs="Arial"/>
          <w:sz w:val="20"/>
          <w:szCs w:val="20"/>
        </w:rPr>
        <w:t>Členenie cenných papierov držaných do splatnosti podľa druhu cenného papiera a krajiny emitenta k 31. decembru 201</w:t>
      </w:r>
      <w:r w:rsidR="008E6F6C" w:rsidRPr="0088338F">
        <w:rPr>
          <w:rFonts w:ascii="Arial" w:hAnsi="Arial" w:cs="Arial"/>
          <w:sz w:val="20"/>
          <w:szCs w:val="20"/>
        </w:rPr>
        <w:t>6</w:t>
      </w:r>
      <w:r w:rsidRPr="0088338F">
        <w:rPr>
          <w:rFonts w:ascii="Arial" w:hAnsi="Arial" w:cs="Arial"/>
          <w:sz w:val="20"/>
          <w:szCs w:val="20"/>
        </w:rPr>
        <w:t xml:space="preserve"> je nasledovné:</w:t>
      </w:r>
    </w:p>
    <w:bookmarkStart w:id="478" w:name="_MON_1426842526"/>
    <w:bookmarkStart w:id="479" w:name="_MON_1426842923"/>
    <w:bookmarkStart w:id="480" w:name="_MON_1426843390"/>
    <w:bookmarkStart w:id="481" w:name="_MON_1426843401"/>
    <w:bookmarkStart w:id="482" w:name="_MON_1430811512"/>
    <w:bookmarkStart w:id="483" w:name="_MON_1434813475"/>
    <w:bookmarkStart w:id="484" w:name="_MON_1434813909"/>
    <w:bookmarkStart w:id="485" w:name="_MON_1441023582"/>
    <w:bookmarkStart w:id="486" w:name="_MON_1442836267"/>
    <w:bookmarkStart w:id="487" w:name="_MON_1442836483"/>
    <w:bookmarkStart w:id="488" w:name="_MON_1442836577"/>
    <w:bookmarkStart w:id="489" w:name="_MON_1446450481"/>
    <w:bookmarkStart w:id="490" w:name="_MON_1451136745"/>
    <w:bookmarkStart w:id="491" w:name="_MON_1456739876"/>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Start w:id="492" w:name="_MON_1458625163"/>
    <w:bookmarkEnd w:id="492"/>
    <w:p w14:paraId="1B955BC8" w14:textId="39605ACF" w:rsidR="004E27CA" w:rsidRPr="0088338F" w:rsidRDefault="0033715E" w:rsidP="006F4D7D">
      <w:pPr>
        <w:jc w:val="both"/>
        <w:rPr>
          <w:rFonts w:ascii="Arial" w:hAnsi="Arial" w:cs="Arial"/>
          <w:sz w:val="20"/>
          <w:szCs w:val="20"/>
        </w:rPr>
      </w:pPr>
      <w:r w:rsidRPr="0088338F">
        <w:object w:dxaOrig="10756" w:dyaOrig="2274" w14:anchorId="5A102B77">
          <v:shape id="_x0000_i1042" type="#_x0000_t75" style="width:502.2pt;height:117pt" o:ole="">
            <v:imagedata r:id="rId59" o:title=""/>
          </v:shape>
          <o:OLEObject Type="Embed" ProgID="Excel.Sheet.8" ShapeID="_x0000_i1042" DrawAspect="Content" ObjectID="_1551591543" r:id="rId60"/>
        </w:object>
      </w:r>
    </w:p>
    <w:p w14:paraId="4BEED91A" w14:textId="0C578CE8" w:rsidR="004E27CA" w:rsidRPr="0088338F" w:rsidRDefault="004E27CA" w:rsidP="004E27CA">
      <w:pPr>
        <w:jc w:val="both"/>
        <w:rPr>
          <w:rFonts w:ascii="Arial" w:hAnsi="Arial" w:cs="Arial"/>
          <w:sz w:val="20"/>
          <w:szCs w:val="20"/>
        </w:rPr>
      </w:pPr>
      <w:r w:rsidRPr="0088338F">
        <w:rPr>
          <w:rFonts w:ascii="Arial" w:hAnsi="Arial" w:cs="Arial"/>
          <w:sz w:val="20"/>
          <w:szCs w:val="20"/>
        </w:rPr>
        <w:t>Členenie cenných papierov držaných do splatnosti podľa druhu cenného papiera a krajiny emitenta k 31. decembru 201</w:t>
      </w:r>
      <w:r w:rsidR="008E6F6C" w:rsidRPr="0088338F">
        <w:rPr>
          <w:rFonts w:ascii="Arial" w:hAnsi="Arial" w:cs="Arial"/>
          <w:sz w:val="20"/>
          <w:szCs w:val="20"/>
        </w:rPr>
        <w:t>5</w:t>
      </w:r>
      <w:r w:rsidRPr="0088338F">
        <w:rPr>
          <w:rFonts w:ascii="Arial" w:hAnsi="Arial" w:cs="Arial"/>
          <w:sz w:val="20"/>
          <w:szCs w:val="20"/>
        </w:rPr>
        <w:t xml:space="preserve"> je nasledovné:</w:t>
      </w:r>
    </w:p>
    <w:p w14:paraId="250BA54C" w14:textId="0CF980CE" w:rsidR="004E27CA" w:rsidRPr="0088338F" w:rsidRDefault="008E6F6C" w:rsidP="006F4D7D">
      <w:pPr>
        <w:jc w:val="both"/>
        <w:rPr>
          <w:rFonts w:ascii="Arial" w:hAnsi="Arial" w:cs="Arial"/>
          <w:sz w:val="20"/>
          <w:szCs w:val="20"/>
        </w:rPr>
      </w:pPr>
      <w:r w:rsidRPr="0088338F">
        <w:object w:dxaOrig="10756" w:dyaOrig="4005" w14:anchorId="38CC3427">
          <v:shape id="_x0000_i1043" type="#_x0000_t75" style="width:502.2pt;height:207pt" o:ole="">
            <v:imagedata r:id="rId61" o:title=""/>
          </v:shape>
          <o:OLEObject Type="Embed" ProgID="Excel.Sheet.8" ShapeID="_x0000_i1043" DrawAspect="Content" ObjectID="_1551591544" r:id="rId62"/>
        </w:object>
      </w:r>
    </w:p>
    <w:p w14:paraId="4AD108D6" w14:textId="5045746B" w:rsidR="00D7679B" w:rsidRPr="0088338F" w:rsidRDefault="00D7679B" w:rsidP="00D7679B">
      <w:pPr>
        <w:jc w:val="both"/>
        <w:rPr>
          <w:rFonts w:ascii="Arial" w:hAnsi="Arial" w:cs="Arial"/>
          <w:sz w:val="20"/>
          <w:szCs w:val="20"/>
        </w:rPr>
      </w:pPr>
      <w:r w:rsidRPr="0088338F">
        <w:rPr>
          <w:rFonts w:ascii="Arial" w:hAnsi="Arial" w:cs="Arial"/>
          <w:bCs/>
          <w:sz w:val="20"/>
          <w:szCs w:val="20"/>
        </w:rPr>
        <w:t xml:space="preserve">K 31. </w:t>
      </w:r>
      <w:r w:rsidRPr="0088338F">
        <w:rPr>
          <w:rFonts w:ascii="Arial" w:hAnsi="Arial" w:cs="Arial"/>
          <w:sz w:val="20"/>
        </w:rPr>
        <w:t>decembru</w:t>
      </w:r>
      <w:r w:rsidRPr="0088338F">
        <w:rPr>
          <w:rFonts w:ascii="Arial" w:hAnsi="Arial" w:cs="Arial"/>
          <w:bCs/>
          <w:sz w:val="20"/>
          <w:szCs w:val="20"/>
        </w:rPr>
        <w:t xml:space="preserve"> 201</w:t>
      </w:r>
      <w:r w:rsidR="008E6F6C" w:rsidRPr="0088338F">
        <w:rPr>
          <w:rFonts w:ascii="Arial" w:hAnsi="Arial" w:cs="Arial"/>
          <w:bCs/>
          <w:sz w:val="20"/>
          <w:szCs w:val="20"/>
        </w:rPr>
        <w:t>6</w:t>
      </w:r>
      <w:r w:rsidRPr="0088338F">
        <w:rPr>
          <w:rFonts w:ascii="Arial" w:hAnsi="Arial" w:cs="Arial"/>
          <w:bCs/>
          <w:sz w:val="20"/>
          <w:szCs w:val="20"/>
        </w:rPr>
        <w:t xml:space="preserve"> evidovala banka v portfóliu cenných papierov držaných do splatnosti štátne tuzemské dlhopisy v amortizovanej hodnote 2 0</w:t>
      </w:r>
      <w:r w:rsidR="00BF545B" w:rsidRPr="0088338F">
        <w:rPr>
          <w:rFonts w:ascii="Arial" w:hAnsi="Arial" w:cs="Arial"/>
          <w:bCs/>
          <w:sz w:val="20"/>
          <w:szCs w:val="20"/>
        </w:rPr>
        <w:t>3</w:t>
      </w:r>
      <w:r w:rsidR="0033715E" w:rsidRPr="0088338F">
        <w:rPr>
          <w:rFonts w:ascii="Arial" w:hAnsi="Arial" w:cs="Arial"/>
          <w:bCs/>
          <w:sz w:val="20"/>
          <w:szCs w:val="20"/>
        </w:rPr>
        <w:t>7</w:t>
      </w:r>
      <w:r w:rsidRPr="0088338F">
        <w:rPr>
          <w:rFonts w:ascii="Arial" w:hAnsi="Arial" w:cs="Arial"/>
          <w:bCs/>
          <w:sz w:val="20"/>
          <w:szCs w:val="20"/>
        </w:rPr>
        <w:t xml:space="preserve"> tis. EUR (201</w:t>
      </w:r>
      <w:r w:rsidR="008E6F6C" w:rsidRPr="0088338F">
        <w:rPr>
          <w:rFonts w:ascii="Arial" w:hAnsi="Arial" w:cs="Arial"/>
          <w:bCs/>
          <w:sz w:val="20"/>
          <w:szCs w:val="20"/>
        </w:rPr>
        <w:t>5</w:t>
      </w:r>
      <w:r w:rsidRPr="0088338F">
        <w:rPr>
          <w:rFonts w:ascii="Arial" w:hAnsi="Arial" w:cs="Arial"/>
          <w:bCs/>
          <w:sz w:val="20"/>
          <w:szCs w:val="20"/>
        </w:rPr>
        <w:t xml:space="preserve">: </w:t>
      </w:r>
      <w:r w:rsidR="00D0121B" w:rsidRPr="0088338F">
        <w:rPr>
          <w:rFonts w:ascii="Arial" w:hAnsi="Arial" w:cs="Arial"/>
          <w:bCs/>
          <w:sz w:val="20"/>
          <w:szCs w:val="20"/>
        </w:rPr>
        <w:t>2</w:t>
      </w:r>
      <w:r w:rsidRPr="0088338F">
        <w:rPr>
          <w:rFonts w:ascii="Arial" w:hAnsi="Arial" w:cs="Arial"/>
          <w:bCs/>
          <w:sz w:val="20"/>
          <w:szCs w:val="20"/>
        </w:rPr>
        <w:t xml:space="preserve"> </w:t>
      </w:r>
      <w:r w:rsidR="00D0121B" w:rsidRPr="0088338F">
        <w:rPr>
          <w:rFonts w:ascii="Arial" w:hAnsi="Arial" w:cs="Arial"/>
          <w:bCs/>
          <w:sz w:val="20"/>
          <w:szCs w:val="20"/>
        </w:rPr>
        <w:t>0</w:t>
      </w:r>
      <w:r w:rsidR="008E6F6C" w:rsidRPr="0088338F">
        <w:rPr>
          <w:rFonts w:ascii="Arial" w:hAnsi="Arial" w:cs="Arial"/>
          <w:bCs/>
          <w:sz w:val="20"/>
          <w:szCs w:val="20"/>
        </w:rPr>
        <w:t>35</w:t>
      </w:r>
      <w:r w:rsidRPr="0088338F">
        <w:rPr>
          <w:rFonts w:ascii="Arial" w:hAnsi="Arial" w:cs="Arial"/>
          <w:bCs/>
          <w:sz w:val="20"/>
          <w:szCs w:val="20"/>
        </w:rPr>
        <w:t xml:space="preserve"> tis. EUR) poskytnuté ako</w:t>
      </w:r>
      <w:r w:rsidR="003D3BD0" w:rsidRPr="0088338F">
        <w:rPr>
          <w:rFonts w:ascii="Arial" w:hAnsi="Arial" w:cs="Arial"/>
          <w:bCs/>
          <w:sz w:val="20"/>
          <w:szCs w:val="20"/>
        </w:rPr>
        <w:t xml:space="preserve"> zábezpeka voči tuzemskej banke.</w:t>
      </w:r>
    </w:p>
    <w:p w14:paraId="504CC45F" w14:textId="77777777" w:rsidR="001D5B46" w:rsidRPr="0088338F" w:rsidRDefault="001D5B46" w:rsidP="006F4D7D">
      <w:pPr>
        <w:jc w:val="both"/>
        <w:rPr>
          <w:rFonts w:ascii="Arial" w:hAnsi="Arial" w:cs="Arial"/>
          <w:sz w:val="20"/>
          <w:szCs w:val="20"/>
        </w:rPr>
      </w:pPr>
    </w:p>
    <w:p w14:paraId="2C16470E" w14:textId="77777777" w:rsidR="00F3754A" w:rsidRPr="0088338F" w:rsidRDefault="00BC74FC" w:rsidP="00F3754A">
      <w:pPr>
        <w:jc w:val="both"/>
        <w:rPr>
          <w:rFonts w:ascii="Arial" w:hAnsi="Arial" w:cs="Arial"/>
          <w:bCs/>
          <w:sz w:val="20"/>
          <w:szCs w:val="20"/>
        </w:rPr>
      </w:pPr>
      <w:r w:rsidRPr="0088338F">
        <w:rPr>
          <w:rFonts w:ascii="Arial" w:hAnsi="Arial" w:cs="Arial"/>
          <w:bCs/>
          <w:sz w:val="20"/>
          <w:szCs w:val="20"/>
        </w:rPr>
        <w:br w:type="page"/>
      </w:r>
      <w:r w:rsidR="00F3754A" w:rsidRPr="0088338F">
        <w:rPr>
          <w:rFonts w:ascii="Arial" w:hAnsi="Arial" w:cs="Arial"/>
          <w:bCs/>
          <w:sz w:val="20"/>
          <w:szCs w:val="20"/>
        </w:rPr>
        <w:lastRenderedPageBreak/>
        <w:t xml:space="preserve">Štruktúra cenných papierov, ktoré sú poskytnuté ako zábezpeka poolingu voči Národnej banke Slovenska </w:t>
      </w:r>
      <w:r w:rsidR="0014114F" w:rsidRPr="0088338F">
        <w:rPr>
          <w:rFonts w:ascii="Arial" w:hAnsi="Arial" w:cs="Arial"/>
          <w:bCs/>
          <w:sz w:val="20"/>
          <w:szCs w:val="20"/>
        </w:rPr>
        <w:t>a úverov od ECB (pozri pozn. 1</w:t>
      </w:r>
      <w:r w:rsidR="00100BD2" w:rsidRPr="0088338F">
        <w:rPr>
          <w:rFonts w:ascii="Arial" w:hAnsi="Arial" w:cs="Arial"/>
          <w:bCs/>
          <w:sz w:val="20"/>
          <w:szCs w:val="20"/>
        </w:rPr>
        <w:t>5</w:t>
      </w:r>
      <w:r w:rsidR="0014114F" w:rsidRPr="0088338F">
        <w:rPr>
          <w:rFonts w:ascii="Arial" w:hAnsi="Arial" w:cs="Arial"/>
          <w:bCs/>
          <w:sz w:val="20"/>
          <w:szCs w:val="20"/>
        </w:rPr>
        <w:t xml:space="preserve">) </w:t>
      </w:r>
      <w:r w:rsidR="00F3754A" w:rsidRPr="0088338F">
        <w:rPr>
          <w:rFonts w:ascii="Arial" w:hAnsi="Arial" w:cs="Arial"/>
          <w:bCs/>
          <w:sz w:val="20"/>
          <w:szCs w:val="20"/>
        </w:rPr>
        <w:t>je nasledovná:</w:t>
      </w:r>
    </w:p>
    <w:bookmarkStart w:id="493" w:name="_MON_1390560788"/>
    <w:bookmarkStart w:id="494" w:name="_MON_1422085390"/>
    <w:bookmarkStart w:id="495" w:name="_MON_1451197431"/>
    <w:bookmarkStart w:id="496" w:name="_MON_1451197478"/>
    <w:bookmarkStart w:id="497" w:name="_MON_1451202784"/>
    <w:bookmarkStart w:id="498" w:name="_MON_1451203265"/>
    <w:bookmarkStart w:id="499" w:name="_MON_1451203329"/>
    <w:bookmarkStart w:id="500" w:name="_MON_1451203967"/>
    <w:bookmarkStart w:id="501" w:name="_MON_1453633722"/>
    <w:bookmarkStart w:id="502" w:name="_MON_1456739946"/>
    <w:bookmarkStart w:id="503" w:name="_MON_1458634692"/>
    <w:bookmarkStart w:id="504" w:name="_MON_1458634903"/>
    <w:bookmarkStart w:id="505" w:name="_MON_1458635112"/>
    <w:bookmarkStart w:id="506" w:name="_MON_1458635176"/>
    <w:bookmarkStart w:id="507" w:name="_MON_1458635345"/>
    <w:bookmarkStart w:id="508" w:name="_MON_1461477256"/>
    <w:bookmarkStart w:id="509" w:name="_MON_1466423432"/>
    <w:bookmarkStart w:id="510" w:name="_MON_1466423484"/>
    <w:bookmarkStart w:id="511" w:name="_MON_1466423547"/>
    <w:bookmarkStart w:id="512" w:name="_MON_1466423637"/>
    <w:bookmarkStart w:id="513" w:name="_MON_1466423682"/>
    <w:bookmarkStart w:id="514" w:name="_MON_1466424167"/>
    <w:bookmarkStart w:id="515" w:name="_MON_1380092604"/>
    <w:bookmarkStart w:id="516" w:name="_MON_1380092772"/>
    <w:bookmarkStart w:id="517" w:name="_MON_1387451988"/>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Start w:id="518" w:name="_MON_1389885126"/>
    <w:bookmarkEnd w:id="518"/>
    <w:p w14:paraId="6DB0B60E" w14:textId="0D155E73" w:rsidR="00F3754A" w:rsidRPr="0088338F" w:rsidRDefault="0033715E" w:rsidP="00F3754A">
      <w:pPr>
        <w:jc w:val="both"/>
        <w:rPr>
          <w:rFonts w:ascii="Arial" w:hAnsi="Arial" w:cs="Arial"/>
          <w:bCs/>
          <w:sz w:val="20"/>
          <w:szCs w:val="20"/>
        </w:rPr>
      </w:pPr>
      <w:r w:rsidRPr="0088338F">
        <w:rPr>
          <w:rFonts w:ascii="Arial" w:hAnsi="Arial" w:cs="Arial"/>
        </w:rPr>
        <w:object w:dxaOrig="9669" w:dyaOrig="2274" w14:anchorId="5F5E7BA4">
          <v:shape id="_x0000_i1044" type="#_x0000_t75" style="width:451.8pt;height:112.2pt" o:ole="" o:preferrelative="f">
            <v:imagedata r:id="rId63" o:title=""/>
            <o:lock v:ext="edit" aspectratio="f"/>
          </v:shape>
          <o:OLEObject Type="Embed" ProgID="Excel.Sheet.8" ShapeID="_x0000_i1044" DrawAspect="Content" ObjectID="_1551591545" r:id="rId64"/>
        </w:object>
      </w:r>
    </w:p>
    <w:p w14:paraId="2F452C5A" w14:textId="77777777" w:rsidR="00F3754A" w:rsidRPr="0088338F" w:rsidRDefault="00F3754A" w:rsidP="006F4D7D">
      <w:pPr>
        <w:jc w:val="both"/>
        <w:rPr>
          <w:rFonts w:ascii="Arial" w:hAnsi="Arial" w:cs="Arial"/>
          <w:sz w:val="20"/>
          <w:szCs w:val="20"/>
        </w:rPr>
      </w:pPr>
    </w:p>
    <w:p w14:paraId="0BC33684" w14:textId="77777777" w:rsidR="00446C3C" w:rsidRPr="0088338F" w:rsidRDefault="00446C3C" w:rsidP="006F4D7D">
      <w:pPr>
        <w:jc w:val="both"/>
        <w:rPr>
          <w:rFonts w:ascii="Arial" w:hAnsi="Arial" w:cs="Arial"/>
          <w:sz w:val="20"/>
          <w:szCs w:val="20"/>
        </w:rPr>
      </w:pPr>
    </w:p>
    <w:p w14:paraId="5B0F13CF" w14:textId="77777777" w:rsidR="003A3932" w:rsidRPr="0088338F" w:rsidRDefault="003A3932"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investície v dcérskych spoločnostiach</w:t>
      </w:r>
    </w:p>
    <w:bookmarkStart w:id="519" w:name="_MON_1232088464"/>
    <w:bookmarkStart w:id="520" w:name="_MON_1249394452"/>
    <w:bookmarkStart w:id="521" w:name="_MON_1249581020"/>
    <w:bookmarkStart w:id="522" w:name="_MON_1288352100"/>
    <w:bookmarkStart w:id="523" w:name="_MON_1322774282"/>
    <w:bookmarkStart w:id="524" w:name="_MON_1363957496"/>
    <w:bookmarkStart w:id="525" w:name="_MON_1371997149"/>
    <w:bookmarkStart w:id="526" w:name="_MON_1380093332"/>
    <w:bookmarkStart w:id="527" w:name="_MON_1387453037"/>
    <w:bookmarkStart w:id="528" w:name="_MON_1395040346"/>
    <w:bookmarkStart w:id="529" w:name="_MON_1424761348"/>
    <w:bookmarkStart w:id="530" w:name="_MON_1456739989"/>
    <w:bookmarkStart w:id="531" w:name="_MON_1458635460"/>
    <w:bookmarkStart w:id="532" w:name="_MON_1461477270"/>
    <w:bookmarkStart w:id="533" w:name="_MON_1216373390"/>
    <w:bookmarkStart w:id="534" w:name="_MON_1216373581"/>
    <w:bookmarkStart w:id="535" w:name="_MON_1216373758"/>
    <w:bookmarkStart w:id="536" w:name="_MON_1216373773"/>
    <w:bookmarkStart w:id="537" w:name="_MON_1216373798"/>
    <w:bookmarkStart w:id="538" w:name="_MON_1216373896"/>
    <w:bookmarkStart w:id="539" w:name="_MON_1216374177"/>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Start w:id="540" w:name="_MON_1232088402"/>
    <w:bookmarkEnd w:id="540"/>
    <w:p w14:paraId="6C77CC54" w14:textId="378A8051" w:rsidR="00137323" w:rsidRPr="0088338F" w:rsidRDefault="00E97ED2" w:rsidP="00125218">
      <w:pPr>
        <w:jc w:val="both"/>
        <w:rPr>
          <w:rFonts w:ascii="Arial" w:hAnsi="Arial" w:cs="Arial"/>
          <w:b/>
          <w:sz w:val="20"/>
          <w:szCs w:val="20"/>
        </w:rPr>
      </w:pPr>
      <w:r w:rsidRPr="0088338F">
        <w:rPr>
          <w:rFonts w:ascii="Arial" w:hAnsi="Arial" w:cs="Arial"/>
        </w:rPr>
        <w:object w:dxaOrig="9717" w:dyaOrig="2768" w14:anchorId="5336599F">
          <v:shape id="_x0000_i1045" type="#_x0000_t75" style="width:449.4pt;height:139.8pt" o:ole="" o:preferrelative="f">
            <v:imagedata r:id="rId65" o:title=""/>
            <o:lock v:ext="edit" aspectratio="f"/>
          </v:shape>
          <o:OLEObject Type="Embed" ProgID="Excel.Sheet.8" ShapeID="_x0000_i1045" DrawAspect="Content" ObjectID="_1551591546" r:id="rId66"/>
        </w:object>
      </w:r>
    </w:p>
    <w:p w14:paraId="4AE6B471" w14:textId="77777777" w:rsidR="00B872FF" w:rsidRPr="0088338F" w:rsidRDefault="008D38B4" w:rsidP="006F4D7D">
      <w:pPr>
        <w:jc w:val="both"/>
        <w:rPr>
          <w:rFonts w:ascii="Arial" w:hAnsi="Arial" w:cs="Arial"/>
          <w:sz w:val="20"/>
          <w:szCs w:val="20"/>
        </w:rPr>
      </w:pPr>
      <w:r w:rsidRPr="0088338F">
        <w:rPr>
          <w:rFonts w:ascii="Arial" w:hAnsi="Arial" w:cs="Arial"/>
          <w:sz w:val="20"/>
          <w:szCs w:val="20"/>
        </w:rPr>
        <w:t>.</w:t>
      </w:r>
    </w:p>
    <w:p w14:paraId="0FA52BB2" w14:textId="77777777" w:rsidR="00CD1C96" w:rsidRPr="0088338F" w:rsidRDefault="00CD1C96" w:rsidP="006F4D7D">
      <w:pPr>
        <w:jc w:val="both"/>
        <w:rPr>
          <w:rFonts w:ascii="Arial" w:hAnsi="Arial" w:cs="Arial"/>
        </w:rPr>
        <w:sectPr w:rsidR="00CD1C96" w:rsidRPr="0088338F" w:rsidSect="00C219AA">
          <w:headerReference w:type="default" r:id="rId67"/>
          <w:footerReference w:type="default" r:id="rId68"/>
          <w:pgSz w:w="11906" w:h="16838"/>
          <w:pgMar w:top="1417" w:right="1417" w:bottom="993" w:left="1417" w:header="708" w:footer="708" w:gutter="0"/>
          <w:cols w:space="708"/>
          <w:docGrid w:linePitch="360"/>
        </w:sectPr>
      </w:pPr>
    </w:p>
    <w:p w14:paraId="4E89FA92" w14:textId="77777777" w:rsidR="00D9713D" w:rsidRPr="0088338F" w:rsidRDefault="00D9713D"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lastRenderedPageBreak/>
        <w:t>Hmotný a nehmotný majetok</w:t>
      </w:r>
    </w:p>
    <w:p w14:paraId="1E5E81A4" w14:textId="77777777" w:rsidR="009355B6" w:rsidRPr="0088338F" w:rsidRDefault="009355B6" w:rsidP="003C18A9">
      <w:pPr>
        <w:jc w:val="both"/>
        <w:rPr>
          <w:rFonts w:ascii="Arial" w:hAnsi="Arial" w:cs="Arial"/>
          <w:sz w:val="20"/>
          <w:szCs w:val="20"/>
        </w:rPr>
      </w:pPr>
    </w:p>
    <w:p w14:paraId="2AA038D0" w14:textId="736EB4B3" w:rsidR="00B2600A" w:rsidRPr="0088338F" w:rsidRDefault="00B2600A" w:rsidP="002B3BCE">
      <w:pPr>
        <w:numPr>
          <w:ilvl w:val="0"/>
          <w:numId w:val="4"/>
        </w:numPr>
        <w:tabs>
          <w:tab w:val="clear" w:pos="930"/>
          <w:tab w:val="left" w:pos="567"/>
        </w:tabs>
        <w:ind w:left="567" w:hanging="567"/>
        <w:jc w:val="both"/>
        <w:rPr>
          <w:rFonts w:ascii="Arial" w:hAnsi="Arial" w:cs="Arial"/>
          <w:b/>
          <w:sz w:val="20"/>
          <w:szCs w:val="20"/>
        </w:rPr>
      </w:pPr>
      <w:bookmarkStart w:id="541" w:name="OLE_LINK3"/>
      <w:bookmarkStart w:id="542" w:name="OLE_LINK4"/>
      <w:r w:rsidRPr="0088338F">
        <w:rPr>
          <w:rFonts w:ascii="Arial" w:hAnsi="Arial" w:cs="Arial"/>
          <w:b/>
          <w:sz w:val="20"/>
          <w:szCs w:val="20"/>
        </w:rPr>
        <w:t>Zmeny hmotného a nehmotného majetku k 31. decembru 20</w:t>
      </w:r>
      <w:r w:rsidR="00452EFC" w:rsidRPr="0088338F">
        <w:rPr>
          <w:rFonts w:ascii="Arial" w:hAnsi="Arial" w:cs="Arial"/>
          <w:b/>
          <w:sz w:val="20"/>
          <w:szCs w:val="20"/>
        </w:rPr>
        <w:t>1</w:t>
      </w:r>
      <w:r w:rsidR="00C34F1A" w:rsidRPr="0088338F">
        <w:rPr>
          <w:rFonts w:ascii="Arial" w:hAnsi="Arial" w:cs="Arial"/>
          <w:b/>
          <w:sz w:val="20"/>
          <w:szCs w:val="20"/>
        </w:rPr>
        <w:t>6</w:t>
      </w:r>
    </w:p>
    <w:bookmarkEnd w:id="541"/>
    <w:bookmarkEnd w:id="542"/>
    <w:p w14:paraId="5FB03AEF" w14:textId="77777777" w:rsidR="00B2600A" w:rsidRPr="0088338F" w:rsidRDefault="00B2600A" w:rsidP="00B2600A">
      <w:pPr>
        <w:jc w:val="both"/>
        <w:rPr>
          <w:rFonts w:ascii="Arial" w:hAnsi="Arial" w:cs="Arial"/>
          <w:b/>
          <w:sz w:val="20"/>
          <w:szCs w:val="20"/>
        </w:rPr>
      </w:pPr>
    </w:p>
    <w:bookmarkStart w:id="543" w:name="_MON_1395731116"/>
    <w:bookmarkStart w:id="544" w:name="_MON_1395731182"/>
    <w:bookmarkStart w:id="545" w:name="_MON_1395731231"/>
    <w:bookmarkStart w:id="546" w:name="_MON_1395731264"/>
    <w:bookmarkStart w:id="547" w:name="_MON_1395731278"/>
    <w:bookmarkStart w:id="548" w:name="_MON_1395731296"/>
    <w:bookmarkStart w:id="549" w:name="_MON_1395731401"/>
    <w:bookmarkStart w:id="550" w:name="_MON_1395731435"/>
    <w:bookmarkStart w:id="551" w:name="_MON_1395731448"/>
    <w:bookmarkStart w:id="552" w:name="_MON_1395731464"/>
    <w:bookmarkStart w:id="553" w:name="_MON_1395731498"/>
    <w:bookmarkStart w:id="554" w:name="_MON_1395731530"/>
    <w:bookmarkStart w:id="555" w:name="_MON_1395731843"/>
    <w:bookmarkStart w:id="556" w:name="_MON_1395731869"/>
    <w:bookmarkStart w:id="557" w:name="_MON_1395731969"/>
    <w:bookmarkStart w:id="558" w:name="_MON_1395732028"/>
    <w:bookmarkStart w:id="559" w:name="_MON_1395732060"/>
    <w:bookmarkStart w:id="560" w:name="_MON_1395732090"/>
    <w:bookmarkStart w:id="561" w:name="_MON_1395732242"/>
    <w:bookmarkStart w:id="562" w:name="_MON_1395732327"/>
    <w:bookmarkStart w:id="563" w:name="_MON_1395732504"/>
    <w:bookmarkStart w:id="564" w:name="_MON_1395733243"/>
    <w:bookmarkStart w:id="565" w:name="_MON_1395733277"/>
    <w:bookmarkStart w:id="566" w:name="_MON_1395733438"/>
    <w:bookmarkStart w:id="567" w:name="_MON_1424761405"/>
    <w:bookmarkStart w:id="568" w:name="_MON_1426849056"/>
    <w:bookmarkStart w:id="569" w:name="_MON_1426849884"/>
    <w:bookmarkStart w:id="570" w:name="_MON_1426850278"/>
    <w:bookmarkStart w:id="571" w:name="_MON_1426850342"/>
    <w:bookmarkStart w:id="572" w:name="_MON_1426850421"/>
    <w:bookmarkStart w:id="573" w:name="_MON_1430811757"/>
    <w:bookmarkStart w:id="574" w:name="_MON_1434872981"/>
    <w:bookmarkStart w:id="575" w:name="_MON_1434873579"/>
    <w:bookmarkStart w:id="576" w:name="_MON_1441023778"/>
    <w:bookmarkStart w:id="577" w:name="_MON_1442902181"/>
    <w:bookmarkStart w:id="578" w:name="_MON_1442902820"/>
    <w:bookmarkStart w:id="579" w:name="_MON_1442902913"/>
    <w:bookmarkStart w:id="580" w:name="_MON_1442903011"/>
    <w:bookmarkStart w:id="581" w:name="_MON_1442903225"/>
    <w:bookmarkStart w:id="582" w:name="_MON_1442903333"/>
    <w:bookmarkStart w:id="583" w:name="_MON_1442903440"/>
    <w:bookmarkStart w:id="584" w:name="_MON_1442903482"/>
    <w:bookmarkStart w:id="585" w:name="_MON_1446450605"/>
    <w:bookmarkStart w:id="586" w:name="_MON_1451200187"/>
    <w:bookmarkStart w:id="587" w:name="_MON_1451201113"/>
    <w:bookmarkStart w:id="588" w:name="_MON_1453792217"/>
    <w:bookmarkStart w:id="589" w:name="_MON_1454308142"/>
    <w:bookmarkStart w:id="590" w:name="_MON_1456740034"/>
    <w:bookmarkStart w:id="591" w:name="_MON_1458640842"/>
    <w:bookmarkStart w:id="592" w:name="_MON_1458641842"/>
    <w:bookmarkStart w:id="593" w:name="_MON_1458642344"/>
    <w:bookmarkStart w:id="594" w:name="_MON_1359136512"/>
    <w:bookmarkStart w:id="595" w:name="_MON_1359138301"/>
    <w:bookmarkStart w:id="596" w:name="_MON_1359354857"/>
    <w:bookmarkStart w:id="597" w:name="_MON_1359355372"/>
    <w:bookmarkStart w:id="598" w:name="_MON_1359355432"/>
    <w:bookmarkStart w:id="599" w:name="_MON_1359355663"/>
    <w:bookmarkStart w:id="600" w:name="_MON_1363957845"/>
    <w:bookmarkStart w:id="601" w:name="_MON_1363958624"/>
    <w:bookmarkStart w:id="602" w:name="_MON_1372062620"/>
    <w:bookmarkStart w:id="603" w:name="_MON_1372062800"/>
    <w:bookmarkStart w:id="604" w:name="_MON_1372062812"/>
    <w:bookmarkStart w:id="605" w:name="_MON_1372062871"/>
    <w:bookmarkStart w:id="606" w:name="_MON_1372069553"/>
    <w:bookmarkStart w:id="607" w:name="_MON_1372069836"/>
    <w:bookmarkStart w:id="608" w:name="_MON_1372250117"/>
    <w:bookmarkStart w:id="609" w:name="_MON_1380093352"/>
    <w:bookmarkStart w:id="610" w:name="_MON_1380093470"/>
    <w:bookmarkStart w:id="611" w:name="_MON_1380284852"/>
    <w:bookmarkStart w:id="612" w:name="_MON_1387453150"/>
    <w:bookmarkStart w:id="613" w:name="_MON_1387454053"/>
    <w:bookmarkStart w:id="614" w:name="_MON_1387454161"/>
    <w:bookmarkStart w:id="615" w:name="_MON_1387454413"/>
    <w:bookmarkStart w:id="616" w:name="_MON_1395040402"/>
    <w:bookmarkStart w:id="617" w:name="_MON_1395730745"/>
    <w:bookmarkStart w:id="618" w:name="_MON_1395730812"/>
    <w:bookmarkStart w:id="619" w:name="_MON_1395730962"/>
    <w:bookmarkStart w:id="620" w:name="_MON_1395731008"/>
    <w:bookmarkStart w:id="621" w:name="_MON_1395731018"/>
    <w:bookmarkStart w:id="622" w:name="_MON_1395731060"/>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Start w:id="623" w:name="_MON_1395731101"/>
    <w:bookmarkEnd w:id="623"/>
    <w:p w14:paraId="06D1C595" w14:textId="2E8B4B6E" w:rsidR="00B2600A" w:rsidRPr="0088338F" w:rsidRDefault="00013FBE" w:rsidP="003C18A9">
      <w:pPr>
        <w:jc w:val="both"/>
        <w:rPr>
          <w:rFonts w:ascii="Arial" w:hAnsi="Arial" w:cs="Arial"/>
          <w:sz w:val="20"/>
          <w:szCs w:val="20"/>
        </w:rPr>
      </w:pPr>
      <w:r w:rsidRPr="0088338F">
        <w:rPr>
          <w:rFonts w:ascii="Arial" w:hAnsi="Arial" w:cs="Arial"/>
        </w:rPr>
        <w:object w:dxaOrig="14519" w:dyaOrig="4703" w14:anchorId="7B5A08F9">
          <v:shape id="_x0000_i1046" type="#_x0000_t75" style="width:685.2pt;height:240.6pt" o:ole="" o:preferrelative="f">
            <v:imagedata r:id="rId69" o:title=""/>
            <o:lock v:ext="edit" aspectratio="f"/>
          </v:shape>
          <o:OLEObject Type="Embed" ProgID="Excel.Sheet.8" ShapeID="_x0000_i1046" DrawAspect="Content" ObjectID="_1551591547" r:id="rId70"/>
        </w:object>
      </w:r>
    </w:p>
    <w:p w14:paraId="3895A80A" w14:textId="77777777" w:rsidR="007F7DD7" w:rsidRPr="0088338F" w:rsidRDefault="007F7DD7" w:rsidP="007F7DD7">
      <w:pPr>
        <w:tabs>
          <w:tab w:val="left" w:pos="567"/>
        </w:tabs>
        <w:jc w:val="both"/>
        <w:rPr>
          <w:rFonts w:ascii="Arial" w:hAnsi="Arial" w:cs="Arial"/>
          <w:b/>
          <w:sz w:val="20"/>
          <w:szCs w:val="20"/>
        </w:rPr>
      </w:pPr>
    </w:p>
    <w:p w14:paraId="605C6956" w14:textId="77777777" w:rsidR="007F7DD7" w:rsidRPr="0088338F" w:rsidRDefault="007F7DD7" w:rsidP="007F7DD7">
      <w:pPr>
        <w:tabs>
          <w:tab w:val="left" w:pos="567"/>
        </w:tabs>
        <w:jc w:val="both"/>
        <w:rPr>
          <w:rFonts w:ascii="Arial" w:hAnsi="Arial" w:cs="Arial"/>
          <w:b/>
          <w:sz w:val="20"/>
          <w:szCs w:val="20"/>
        </w:rPr>
      </w:pPr>
    </w:p>
    <w:p w14:paraId="5442030C" w14:textId="402AED63" w:rsidR="00B2600A" w:rsidRPr="0088338F" w:rsidRDefault="00B2600A" w:rsidP="002B3BCE">
      <w:pPr>
        <w:numPr>
          <w:ilvl w:val="0"/>
          <w:numId w:val="4"/>
        </w:numPr>
        <w:tabs>
          <w:tab w:val="clear" w:pos="930"/>
          <w:tab w:val="left" w:pos="567"/>
        </w:tabs>
        <w:ind w:left="567" w:hanging="567"/>
        <w:jc w:val="both"/>
        <w:rPr>
          <w:rFonts w:ascii="Arial" w:hAnsi="Arial" w:cs="Arial"/>
          <w:b/>
          <w:sz w:val="20"/>
          <w:szCs w:val="20"/>
        </w:rPr>
      </w:pPr>
      <w:r w:rsidRPr="0088338F">
        <w:rPr>
          <w:rFonts w:ascii="Arial" w:hAnsi="Arial" w:cs="Arial"/>
          <w:sz w:val="20"/>
          <w:szCs w:val="20"/>
        </w:rPr>
        <w:br w:type="page"/>
      </w:r>
      <w:r w:rsidRPr="0088338F">
        <w:rPr>
          <w:rFonts w:ascii="Arial" w:hAnsi="Arial" w:cs="Arial"/>
          <w:b/>
          <w:sz w:val="20"/>
          <w:szCs w:val="20"/>
        </w:rPr>
        <w:lastRenderedPageBreak/>
        <w:t>Zmeny hmotného a nehmotného majetku k 31. decembru 20</w:t>
      </w:r>
      <w:r w:rsidR="00C33BE5" w:rsidRPr="0088338F">
        <w:rPr>
          <w:rFonts w:ascii="Arial" w:hAnsi="Arial" w:cs="Arial"/>
          <w:b/>
          <w:sz w:val="20"/>
          <w:szCs w:val="20"/>
        </w:rPr>
        <w:t>1</w:t>
      </w:r>
      <w:r w:rsidR="00C34F1A" w:rsidRPr="0088338F">
        <w:rPr>
          <w:rFonts w:ascii="Arial" w:hAnsi="Arial" w:cs="Arial"/>
          <w:b/>
          <w:sz w:val="20"/>
          <w:szCs w:val="20"/>
        </w:rPr>
        <w:t>5</w:t>
      </w:r>
    </w:p>
    <w:p w14:paraId="037BD867" w14:textId="77777777" w:rsidR="00B2600A" w:rsidRPr="0088338F" w:rsidRDefault="00B2600A" w:rsidP="003C18A9">
      <w:pPr>
        <w:jc w:val="both"/>
        <w:rPr>
          <w:rFonts w:ascii="Arial" w:hAnsi="Arial" w:cs="Arial"/>
          <w:sz w:val="20"/>
          <w:szCs w:val="20"/>
        </w:rPr>
      </w:pPr>
    </w:p>
    <w:p w14:paraId="41299041" w14:textId="059A91D3" w:rsidR="00CD1C96" w:rsidRPr="0088338F" w:rsidRDefault="00C34F1A" w:rsidP="003C18A9">
      <w:pPr>
        <w:jc w:val="both"/>
        <w:rPr>
          <w:rFonts w:ascii="Arial" w:hAnsi="Arial" w:cs="Arial"/>
          <w:sz w:val="20"/>
          <w:szCs w:val="20"/>
        </w:rPr>
      </w:pPr>
      <w:r w:rsidRPr="0088338F">
        <w:rPr>
          <w:rFonts w:ascii="Arial" w:hAnsi="Arial" w:cs="Arial"/>
        </w:rPr>
        <w:object w:dxaOrig="14519" w:dyaOrig="4703" w14:anchorId="3A66676D">
          <v:shape id="_x0000_i1047" type="#_x0000_t75" style="width:685.2pt;height:240.6pt" o:ole="" o:preferrelative="f">
            <v:imagedata r:id="rId71" o:title=""/>
            <o:lock v:ext="edit" aspectratio="f"/>
          </v:shape>
          <o:OLEObject Type="Embed" ProgID="Excel.Sheet.8" ShapeID="_x0000_i1047" DrawAspect="Content" ObjectID="_1551591548" r:id="rId72"/>
        </w:object>
      </w:r>
    </w:p>
    <w:p w14:paraId="728FE73A" w14:textId="77777777" w:rsidR="00CD1C96" w:rsidRPr="0088338F" w:rsidRDefault="00CD1C96" w:rsidP="003C18A9">
      <w:pPr>
        <w:jc w:val="both"/>
        <w:rPr>
          <w:rFonts w:ascii="Arial" w:hAnsi="Arial" w:cs="Arial"/>
          <w:sz w:val="20"/>
          <w:szCs w:val="20"/>
        </w:rPr>
      </w:pPr>
    </w:p>
    <w:p w14:paraId="15A67F34" w14:textId="77777777" w:rsidR="00882BC9" w:rsidRPr="0088338F" w:rsidRDefault="00882BC9" w:rsidP="003C18A9">
      <w:pPr>
        <w:jc w:val="both"/>
        <w:rPr>
          <w:rFonts w:ascii="Arial" w:hAnsi="Arial" w:cs="Arial"/>
          <w:sz w:val="20"/>
          <w:szCs w:val="20"/>
        </w:rPr>
      </w:pPr>
    </w:p>
    <w:p w14:paraId="2F6AAD5B" w14:textId="77777777" w:rsidR="00882BC9" w:rsidRPr="0088338F" w:rsidRDefault="00882BC9" w:rsidP="003C18A9">
      <w:pPr>
        <w:jc w:val="both"/>
        <w:rPr>
          <w:rFonts w:ascii="Arial" w:hAnsi="Arial" w:cs="Arial"/>
          <w:sz w:val="20"/>
          <w:szCs w:val="20"/>
        </w:rPr>
        <w:sectPr w:rsidR="00882BC9" w:rsidRPr="0088338F" w:rsidSect="00CD1C96">
          <w:headerReference w:type="default" r:id="rId73"/>
          <w:pgSz w:w="16838" w:h="11906" w:orient="landscape"/>
          <w:pgMar w:top="1418" w:right="1418" w:bottom="1418" w:left="1418" w:header="709" w:footer="709" w:gutter="0"/>
          <w:cols w:space="708"/>
          <w:docGrid w:linePitch="360"/>
        </w:sectPr>
      </w:pPr>
    </w:p>
    <w:p w14:paraId="2A895021" w14:textId="77777777" w:rsidR="00AF5E12" w:rsidRPr="0088338F" w:rsidRDefault="00AF5E12" w:rsidP="002B3BCE">
      <w:pPr>
        <w:numPr>
          <w:ilvl w:val="0"/>
          <w:numId w:val="4"/>
        </w:numPr>
        <w:tabs>
          <w:tab w:val="clear" w:pos="930"/>
          <w:tab w:val="left" w:pos="567"/>
        </w:tabs>
        <w:ind w:left="567" w:hanging="567"/>
        <w:jc w:val="both"/>
        <w:rPr>
          <w:rFonts w:ascii="Arial" w:hAnsi="Arial" w:cs="Arial"/>
          <w:b/>
          <w:sz w:val="20"/>
          <w:szCs w:val="20"/>
        </w:rPr>
      </w:pPr>
      <w:r w:rsidRPr="0088338F">
        <w:rPr>
          <w:rFonts w:ascii="Arial" w:hAnsi="Arial" w:cs="Arial"/>
          <w:b/>
          <w:sz w:val="20"/>
          <w:szCs w:val="20"/>
        </w:rPr>
        <w:lastRenderedPageBreak/>
        <w:t>Poistenie majetku</w:t>
      </w:r>
    </w:p>
    <w:p w14:paraId="70D3D42F" w14:textId="77777777" w:rsidR="00AF5E12" w:rsidRPr="0088338F" w:rsidRDefault="00AF5E12" w:rsidP="003C18A9">
      <w:pPr>
        <w:jc w:val="both"/>
        <w:rPr>
          <w:rFonts w:ascii="Arial" w:hAnsi="Arial" w:cs="Arial"/>
          <w:sz w:val="20"/>
          <w:szCs w:val="20"/>
        </w:rPr>
      </w:pPr>
    </w:p>
    <w:p w14:paraId="097FF2E2" w14:textId="77777777" w:rsidR="00AF5E12" w:rsidRPr="0088338F" w:rsidRDefault="00AF5E12" w:rsidP="003C18A9">
      <w:pPr>
        <w:jc w:val="both"/>
        <w:rPr>
          <w:rFonts w:ascii="Arial" w:hAnsi="Arial" w:cs="Arial"/>
          <w:sz w:val="20"/>
          <w:szCs w:val="20"/>
        </w:rPr>
      </w:pPr>
      <w:r w:rsidRPr="0088338F">
        <w:rPr>
          <w:rFonts w:ascii="Arial" w:hAnsi="Arial" w:cs="Arial"/>
          <w:sz w:val="20"/>
          <w:szCs w:val="20"/>
        </w:rPr>
        <w:t>Hmotný majetok na ústredí a na pobočkách je poistený pre prípad živelnej pohromy na plnú výšku obstarávacej ceny.</w:t>
      </w:r>
    </w:p>
    <w:p w14:paraId="0C95797C" w14:textId="77777777" w:rsidR="00AF5E12" w:rsidRPr="0088338F" w:rsidRDefault="00AF5E12" w:rsidP="003C18A9">
      <w:pPr>
        <w:jc w:val="both"/>
        <w:rPr>
          <w:rFonts w:ascii="Arial" w:hAnsi="Arial" w:cs="Arial"/>
          <w:sz w:val="20"/>
          <w:szCs w:val="20"/>
        </w:rPr>
      </w:pPr>
    </w:p>
    <w:p w14:paraId="5D62320F" w14:textId="77777777" w:rsidR="00F22644" w:rsidRPr="0088338F" w:rsidRDefault="00F22644" w:rsidP="003C18A9">
      <w:pPr>
        <w:jc w:val="both"/>
        <w:rPr>
          <w:rFonts w:ascii="Arial" w:hAnsi="Arial" w:cs="Arial"/>
          <w:sz w:val="20"/>
          <w:szCs w:val="20"/>
        </w:rPr>
      </w:pPr>
    </w:p>
    <w:p w14:paraId="1B274324" w14:textId="77777777" w:rsidR="00F22644" w:rsidRPr="0088338F" w:rsidRDefault="00F22644" w:rsidP="00F22644">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PREDDAVKY NA DAŇ / splatný daňový záväzok</w:t>
      </w:r>
    </w:p>
    <w:p w14:paraId="4C477FD0" w14:textId="77777777" w:rsidR="00F22644" w:rsidRPr="0088338F" w:rsidRDefault="00F22644" w:rsidP="00F22644">
      <w:pPr>
        <w:jc w:val="both"/>
        <w:rPr>
          <w:rFonts w:ascii="Arial" w:hAnsi="Arial" w:cs="Arial"/>
          <w:sz w:val="20"/>
          <w:szCs w:val="20"/>
        </w:rPr>
      </w:pPr>
    </w:p>
    <w:bookmarkStart w:id="624" w:name="_MON_1380096402"/>
    <w:bookmarkStart w:id="625" w:name="_MON_1387454467"/>
    <w:bookmarkStart w:id="626" w:name="_MON_1395040694"/>
    <w:bookmarkStart w:id="627" w:name="_MON_1395733860"/>
    <w:bookmarkStart w:id="628" w:name="_MON_1395733931"/>
    <w:bookmarkStart w:id="629" w:name="_MON_1395733958"/>
    <w:bookmarkStart w:id="630" w:name="_MON_1424761596"/>
    <w:bookmarkStart w:id="631" w:name="_MON_1425191633"/>
    <w:bookmarkStart w:id="632" w:name="_MON_1426850854"/>
    <w:bookmarkStart w:id="633" w:name="_MON_1427621686"/>
    <w:bookmarkStart w:id="634" w:name="_MON_1456741278"/>
    <w:bookmarkStart w:id="635" w:name="_MON_1458645990"/>
    <w:bookmarkStart w:id="636" w:name="_MON_1461477469"/>
    <w:bookmarkStart w:id="637" w:name="_MON_1466427427"/>
    <w:bookmarkStart w:id="638" w:name="_MON_1328611521"/>
    <w:bookmarkStart w:id="639" w:name="_MON_1328614681"/>
    <w:bookmarkStart w:id="640" w:name="_MON_1355236520"/>
    <w:bookmarkStart w:id="641" w:name="_MON_1359360662"/>
    <w:bookmarkStart w:id="642" w:name="_MON_1359360716"/>
    <w:bookmarkStart w:id="643" w:name="_MON_1363959998"/>
    <w:bookmarkStart w:id="644" w:name="_MON_137207128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Start w:id="645" w:name="_MON_1380095957"/>
    <w:bookmarkEnd w:id="645"/>
    <w:p w14:paraId="6DFF3031" w14:textId="500648A9" w:rsidR="00F22644" w:rsidRPr="0088338F" w:rsidRDefault="009A3DFF" w:rsidP="00F22644">
      <w:pPr>
        <w:jc w:val="both"/>
        <w:rPr>
          <w:rFonts w:ascii="Arial" w:hAnsi="Arial" w:cs="Arial"/>
          <w:sz w:val="20"/>
          <w:szCs w:val="20"/>
        </w:rPr>
      </w:pPr>
      <w:r w:rsidRPr="0088338F">
        <w:rPr>
          <w:rFonts w:ascii="Arial" w:hAnsi="Arial" w:cs="Arial"/>
        </w:rPr>
        <w:object w:dxaOrig="9669" w:dyaOrig="1532" w14:anchorId="737AF608">
          <v:shape id="_x0000_i1048" type="#_x0000_t75" style="width:450.6pt;height:78pt" o:ole="" o:preferrelative="f">
            <v:imagedata r:id="rId74" o:title=""/>
            <o:lock v:ext="edit" aspectratio="f"/>
          </v:shape>
          <o:OLEObject Type="Embed" ProgID="Excel.Sheet.8" ShapeID="_x0000_i1048" DrawAspect="Content" ObjectID="_1551591549" r:id="rId75"/>
        </w:object>
      </w:r>
    </w:p>
    <w:p w14:paraId="71E8BBA3" w14:textId="77777777" w:rsidR="0075527F" w:rsidRPr="0088338F" w:rsidRDefault="0075527F" w:rsidP="00934FAB">
      <w:pPr>
        <w:jc w:val="both"/>
        <w:rPr>
          <w:rFonts w:ascii="Arial" w:hAnsi="Arial" w:cs="Arial"/>
          <w:sz w:val="20"/>
          <w:szCs w:val="20"/>
        </w:rPr>
      </w:pPr>
    </w:p>
    <w:p w14:paraId="08735587" w14:textId="77777777" w:rsidR="00F22644" w:rsidRPr="0088338F" w:rsidRDefault="00F22644" w:rsidP="00934FAB">
      <w:pPr>
        <w:jc w:val="both"/>
        <w:rPr>
          <w:rFonts w:ascii="Arial" w:hAnsi="Arial" w:cs="Arial"/>
          <w:sz w:val="20"/>
          <w:szCs w:val="20"/>
        </w:rPr>
      </w:pPr>
    </w:p>
    <w:p w14:paraId="4BA4D284" w14:textId="77777777" w:rsidR="008D38B4" w:rsidRPr="0088338F" w:rsidRDefault="00E979F2"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Ostatné aktíva</w:t>
      </w:r>
    </w:p>
    <w:p w14:paraId="0D2CEDD2" w14:textId="77777777" w:rsidR="008D38B4" w:rsidRPr="0088338F" w:rsidRDefault="008D38B4" w:rsidP="003C18A9">
      <w:pPr>
        <w:jc w:val="both"/>
        <w:rPr>
          <w:rFonts w:ascii="Arial" w:hAnsi="Arial" w:cs="Arial"/>
          <w:sz w:val="20"/>
          <w:szCs w:val="20"/>
        </w:rPr>
      </w:pPr>
    </w:p>
    <w:bookmarkStart w:id="646" w:name="_MON_1328362004"/>
    <w:bookmarkStart w:id="647" w:name="_MON_1329564327"/>
    <w:bookmarkStart w:id="648" w:name="_MON_1329978376"/>
    <w:bookmarkStart w:id="649" w:name="_MON_1355235130"/>
    <w:bookmarkStart w:id="650" w:name="_MON_1355237150"/>
    <w:bookmarkStart w:id="651" w:name="_MON_1359357125"/>
    <w:bookmarkStart w:id="652" w:name="_MON_1359357503"/>
    <w:bookmarkStart w:id="653" w:name="_MON_1363960165"/>
    <w:bookmarkStart w:id="654" w:name="_MON_1363960465"/>
    <w:bookmarkStart w:id="655" w:name="_MON_1364020487"/>
    <w:bookmarkStart w:id="656" w:name="_MON_1364020558"/>
    <w:bookmarkStart w:id="657" w:name="_MON_1372071406"/>
    <w:bookmarkStart w:id="658" w:name="_MON_1372071579"/>
    <w:bookmarkStart w:id="659" w:name="_MON_1380096414"/>
    <w:bookmarkStart w:id="660" w:name="_MON_1380096474"/>
    <w:bookmarkStart w:id="661" w:name="_MON_1387454551"/>
    <w:bookmarkStart w:id="662" w:name="_MON_1387454775"/>
    <w:bookmarkStart w:id="663" w:name="_MON_1387454791"/>
    <w:bookmarkStart w:id="664" w:name="_MON_1387622029"/>
    <w:bookmarkStart w:id="665" w:name="_MON_1395040991"/>
    <w:bookmarkStart w:id="666" w:name="_MON_1395042782"/>
    <w:bookmarkStart w:id="667" w:name="_MON_1395734400"/>
    <w:bookmarkStart w:id="668" w:name="_MON_1395734457"/>
    <w:bookmarkStart w:id="669" w:name="_MON_1395734484"/>
    <w:bookmarkStart w:id="670" w:name="_MON_1395734499"/>
    <w:bookmarkStart w:id="671" w:name="_MON_1395734519"/>
    <w:bookmarkStart w:id="672" w:name="_MON_1395734733"/>
    <w:bookmarkStart w:id="673" w:name="_MON_1395734881"/>
    <w:bookmarkStart w:id="674" w:name="_MON_1395734915"/>
    <w:bookmarkStart w:id="675" w:name="_MON_1395908857"/>
    <w:bookmarkStart w:id="676" w:name="_MON_1396085775"/>
    <w:bookmarkStart w:id="677" w:name="_MON_1396086073"/>
    <w:bookmarkStart w:id="678" w:name="_MON_1424761661"/>
    <w:bookmarkStart w:id="679" w:name="_MON_1425191719"/>
    <w:bookmarkStart w:id="680" w:name="_MON_1426852172"/>
    <w:bookmarkStart w:id="681" w:name="_MON_1427099904"/>
    <w:bookmarkStart w:id="682" w:name="_MON_1430811872"/>
    <w:bookmarkStart w:id="683" w:name="_MON_1434875124"/>
    <w:bookmarkStart w:id="684" w:name="_MON_1434875457"/>
    <w:bookmarkStart w:id="685" w:name="_MON_1441023919"/>
    <w:bookmarkStart w:id="686" w:name="_MON_1442904069"/>
    <w:bookmarkStart w:id="687" w:name="_MON_1446450759"/>
    <w:bookmarkStart w:id="688" w:name="_MON_1451195599"/>
    <w:bookmarkStart w:id="689" w:name="_MON_1451201630"/>
    <w:bookmarkStart w:id="690" w:name="_MON_1453636295"/>
    <w:bookmarkStart w:id="691" w:name="_MON_1453792846"/>
    <w:bookmarkStart w:id="692" w:name="_MON_1454308187"/>
    <w:bookmarkStart w:id="693" w:name="_MON_1456740579"/>
    <w:bookmarkStart w:id="694" w:name="_MON_1458642752"/>
    <w:bookmarkStart w:id="695" w:name="_MON_1459064154"/>
    <w:bookmarkStart w:id="696" w:name="_MON_1461477372"/>
    <w:bookmarkStart w:id="697" w:name="_MON_1466426818"/>
    <w:bookmarkStart w:id="698" w:name="_MON_1466427051"/>
    <w:bookmarkStart w:id="699" w:name="_MON_1466427096"/>
    <w:bookmarkStart w:id="700" w:name="_MON_1216381885"/>
    <w:bookmarkStart w:id="701" w:name="_MON_1216382064"/>
    <w:bookmarkStart w:id="702" w:name="_MON_1216382291"/>
    <w:bookmarkStart w:id="703" w:name="_MON_1217331345"/>
    <w:bookmarkStart w:id="704" w:name="_MON_1217331376"/>
    <w:bookmarkStart w:id="705" w:name="_MON_1217504178"/>
    <w:bookmarkStart w:id="706" w:name="_MON_1232003883"/>
    <w:bookmarkStart w:id="707" w:name="_MON_1232004206"/>
    <w:bookmarkStart w:id="708" w:name="_MON_1232004521"/>
    <w:bookmarkStart w:id="709" w:name="_MON_1232004589"/>
    <w:bookmarkStart w:id="710" w:name="_MON_1232004735"/>
    <w:bookmarkStart w:id="711" w:name="_MON_1232004776"/>
    <w:bookmarkStart w:id="712" w:name="_MON_1232829479"/>
    <w:bookmarkStart w:id="713" w:name="_MON_1249395091"/>
    <w:bookmarkStart w:id="714" w:name="_MON_1249458209"/>
    <w:bookmarkStart w:id="715" w:name="_MON_1264102089"/>
    <w:bookmarkStart w:id="716" w:name="_MON_1264876524"/>
    <w:bookmarkStart w:id="717" w:name="_MON_1265644104"/>
    <w:bookmarkStart w:id="718" w:name="_MON_1266502557"/>
    <w:bookmarkStart w:id="719" w:name="_MON_1288368128"/>
    <w:bookmarkStart w:id="720" w:name="_MON_1296806515"/>
    <w:bookmarkStart w:id="721" w:name="_MON_1296919701"/>
    <w:bookmarkStart w:id="722" w:name="_MON_1296919825"/>
    <w:bookmarkStart w:id="723" w:name="_MON_1297500575"/>
    <w:bookmarkStart w:id="724" w:name="_MON_1298355095"/>
    <w:bookmarkStart w:id="725" w:name="_MON_1298355102"/>
    <w:bookmarkStart w:id="726" w:name="_MON_1322776054"/>
    <w:bookmarkStart w:id="727" w:name="_MON_1322776176"/>
    <w:bookmarkStart w:id="728" w:name="_MON_1322776266"/>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Start w:id="729" w:name="_MON_1328361876"/>
    <w:bookmarkEnd w:id="729"/>
    <w:p w14:paraId="0FAC38EE" w14:textId="6B5143A4" w:rsidR="00E979F2" w:rsidRPr="0088338F" w:rsidRDefault="0088338F" w:rsidP="003C18A9">
      <w:pPr>
        <w:jc w:val="both"/>
        <w:rPr>
          <w:rFonts w:ascii="Arial" w:hAnsi="Arial" w:cs="Arial"/>
          <w:sz w:val="20"/>
          <w:szCs w:val="20"/>
        </w:rPr>
      </w:pPr>
      <w:r w:rsidRPr="0088338F">
        <w:rPr>
          <w:rFonts w:ascii="Arial" w:hAnsi="Arial" w:cs="Arial"/>
        </w:rPr>
        <w:object w:dxaOrig="9694" w:dyaOrig="3263" w14:anchorId="66AB73B7">
          <v:shape id="_x0000_i1049" type="#_x0000_t75" style="width:450pt;height:165pt" o:ole="" o:preferrelative="f">
            <v:imagedata r:id="rId76" o:title=""/>
            <o:lock v:ext="edit" aspectratio="f"/>
          </v:shape>
          <o:OLEObject Type="Embed" ProgID="Excel.Sheet.8" ShapeID="_x0000_i1049" DrawAspect="Content" ObjectID="_1551591550" r:id="rId77"/>
        </w:object>
      </w:r>
    </w:p>
    <w:p w14:paraId="5D10B94F" w14:textId="77777777" w:rsidR="008843CA" w:rsidRPr="0088338F" w:rsidRDefault="008843CA" w:rsidP="003C18A9">
      <w:pPr>
        <w:jc w:val="both"/>
        <w:rPr>
          <w:rFonts w:ascii="Arial" w:hAnsi="Arial" w:cs="Arial"/>
          <w:sz w:val="20"/>
          <w:szCs w:val="20"/>
        </w:rPr>
      </w:pPr>
    </w:p>
    <w:p w14:paraId="65A1E40A" w14:textId="77777777" w:rsidR="004029CE" w:rsidRPr="0088338F" w:rsidRDefault="004029CE" w:rsidP="003C18A9">
      <w:pPr>
        <w:jc w:val="both"/>
        <w:rPr>
          <w:rFonts w:ascii="Arial" w:hAnsi="Arial" w:cs="Arial"/>
          <w:sz w:val="20"/>
          <w:szCs w:val="20"/>
        </w:rPr>
      </w:pPr>
    </w:p>
    <w:p w14:paraId="0EB63365" w14:textId="77777777" w:rsidR="00C835EE" w:rsidRPr="0088338F" w:rsidRDefault="00C835EE" w:rsidP="00E564A7">
      <w:pPr>
        <w:numPr>
          <w:ilvl w:val="0"/>
          <w:numId w:val="3"/>
        </w:numPr>
        <w:tabs>
          <w:tab w:val="clear" w:pos="720"/>
          <w:tab w:val="left" w:pos="567"/>
        </w:tabs>
        <w:ind w:left="567" w:hanging="567"/>
        <w:jc w:val="both"/>
        <w:rPr>
          <w:rFonts w:ascii="Arial" w:hAnsi="Arial" w:cs="Arial"/>
          <w:b/>
          <w:caps/>
          <w:sz w:val="20"/>
          <w:szCs w:val="20"/>
        </w:rPr>
      </w:pPr>
      <w:bookmarkStart w:id="730" w:name="OLE_LINK11"/>
      <w:bookmarkStart w:id="731" w:name="OLE_LINK12"/>
      <w:r w:rsidRPr="0088338F">
        <w:rPr>
          <w:rFonts w:ascii="Arial" w:hAnsi="Arial" w:cs="Arial"/>
          <w:b/>
          <w:caps/>
          <w:sz w:val="20"/>
          <w:szCs w:val="20"/>
        </w:rPr>
        <w:t>ZÁVäzky voči bankám</w:t>
      </w:r>
    </w:p>
    <w:bookmarkEnd w:id="730"/>
    <w:bookmarkEnd w:id="731"/>
    <w:p w14:paraId="7EDE6269" w14:textId="77777777" w:rsidR="00C835EE" w:rsidRPr="0088338F" w:rsidRDefault="00C835EE" w:rsidP="003C18A9">
      <w:pPr>
        <w:jc w:val="both"/>
        <w:rPr>
          <w:rFonts w:ascii="Arial" w:hAnsi="Arial" w:cs="Arial"/>
          <w:sz w:val="20"/>
          <w:szCs w:val="20"/>
        </w:rPr>
      </w:pPr>
    </w:p>
    <w:bookmarkStart w:id="732" w:name="_MON_1324809119"/>
    <w:bookmarkStart w:id="733" w:name="_MON_1324809227"/>
    <w:bookmarkStart w:id="734" w:name="_MON_1332408971"/>
    <w:bookmarkStart w:id="735" w:name="_MON_1332409061"/>
    <w:bookmarkStart w:id="736" w:name="_MON_1340189386"/>
    <w:bookmarkStart w:id="737" w:name="_MON_1348579678"/>
    <w:bookmarkStart w:id="738" w:name="_MON_1356333137"/>
    <w:bookmarkStart w:id="739" w:name="_MON_1363960484"/>
    <w:bookmarkStart w:id="740" w:name="_MON_1363960539"/>
    <w:bookmarkStart w:id="741" w:name="_MON_1372071612"/>
    <w:bookmarkStart w:id="742" w:name="_MON_1372071636"/>
    <w:bookmarkStart w:id="743" w:name="_MON_1372071644"/>
    <w:bookmarkStart w:id="744" w:name="_MON_1380096629"/>
    <w:bookmarkStart w:id="745" w:name="_MON_1387454805"/>
    <w:bookmarkStart w:id="746" w:name="_MON_1387454966"/>
    <w:bookmarkStart w:id="747" w:name="_MON_1395041122"/>
    <w:bookmarkStart w:id="748" w:name="_MON_1395734995"/>
    <w:bookmarkStart w:id="749" w:name="_MON_1395735006"/>
    <w:bookmarkStart w:id="750" w:name="_MON_1395908878"/>
    <w:bookmarkStart w:id="751" w:name="_MON_1424761688"/>
    <w:bookmarkStart w:id="752" w:name="_MON_1425191777"/>
    <w:bookmarkStart w:id="753" w:name="_MON_1426921130"/>
    <w:bookmarkStart w:id="754" w:name="_MON_1456740658"/>
    <w:bookmarkStart w:id="755" w:name="_MON_1458642874"/>
    <w:bookmarkStart w:id="756" w:name="_MON_1458642992"/>
    <w:bookmarkStart w:id="757" w:name="_MON_1458976300"/>
    <w:bookmarkStart w:id="758" w:name="_MON_1461477391"/>
    <w:bookmarkStart w:id="759" w:name="_MON_1466427171"/>
    <w:bookmarkStart w:id="760" w:name="_MON_1206355840"/>
    <w:bookmarkStart w:id="761" w:name="_MON_1206356302"/>
    <w:bookmarkStart w:id="762" w:name="_MON_1206356320"/>
    <w:bookmarkStart w:id="763" w:name="_MON_1206356360"/>
    <w:bookmarkStart w:id="764" w:name="_MON_1206356365"/>
    <w:bookmarkStart w:id="765" w:name="_MON_1206357919"/>
    <w:bookmarkStart w:id="766" w:name="_MON_1206710877"/>
    <w:bookmarkStart w:id="767" w:name="_MON_1206710894"/>
    <w:bookmarkStart w:id="768" w:name="_MON_1206710940"/>
    <w:bookmarkStart w:id="769" w:name="_MON_1206710946"/>
    <w:bookmarkStart w:id="770" w:name="_MON_1206962904"/>
    <w:bookmarkStart w:id="771" w:name="_MON_1207076281"/>
    <w:bookmarkStart w:id="772" w:name="_MON_1213871040"/>
    <w:bookmarkStart w:id="773" w:name="_MON_1216384610"/>
    <w:bookmarkStart w:id="774" w:name="_MON_1216385226"/>
    <w:bookmarkStart w:id="775" w:name="_MON_1217331423"/>
    <w:bookmarkStart w:id="776" w:name="_MON_1217332716"/>
    <w:bookmarkStart w:id="777" w:name="_MON_1232005053"/>
    <w:bookmarkStart w:id="778" w:name="_MON_1249395128"/>
    <w:bookmarkStart w:id="779" w:name="_MON_1264102353"/>
    <w:bookmarkStart w:id="780" w:name="_MON_1265644174"/>
    <w:bookmarkStart w:id="781" w:name="_MON_1269583163"/>
    <w:bookmarkStart w:id="782" w:name="_MON_1276941999"/>
    <w:bookmarkStart w:id="783" w:name="_MON_1284987140"/>
    <w:bookmarkStart w:id="784" w:name="_MON_1293456548"/>
    <w:bookmarkStart w:id="785" w:name="_MON_1300711726"/>
    <w:bookmarkStart w:id="786" w:name="_MON_1300711839"/>
    <w:bookmarkStart w:id="787" w:name="_MON_1308552730"/>
    <w:bookmarkStart w:id="788" w:name="_MON_1316519975"/>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Start w:id="789" w:name="_MON_1316525412"/>
    <w:bookmarkEnd w:id="789"/>
    <w:p w14:paraId="3472433E" w14:textId="77F73CD8" w:rsidR="0095197D" w:rsidRPr="0088338F" w:rsidRDefault="00CB04F1" w:rsidP="003C18A9">
      <w:pPr>
        <w:jc w:val="both"/>
        <w:rPr>
          <w:rFonts w:ascii="Arial" w:hAnsi="Arial" w:cs="Arial"/>
        </w:rPr>
      </w:pPr>
      <w:r w:rsidRPr="0088338F">
        <w:rPr>
          <w:rFonts w:ascii="Arial" w:hAnsi="Arial" w:cs="Arial"/>
        </w:rPr>
        <w:object w:dxaOrig="9669" w:dyaOrig="1780" w14:anchorId="05AD2B1A">
          <v:shape id="_x0000_i1050" type="#_x0000_t75" style="width:450.6pt;height:91.2pt" o:ole="" o:preferrelative="f">
            <v:imagedata r:id="rId78" o:title=""/>
            <o:lock v:ext="edit" aspectratio="f"/>
          </v:shape>
          <o:OLEObject Type="Embed" ProgID="Excel.Sheet.8" ShapeID="_x0000_i1050" DrawAspect="Content" ObjectID="_1551591551" r:id="rId79"/>
        </w:object>
      </w:r>
    </w:p>
    <w:p w14:paraId="1E8A66FC" w14:textId="77777777" w:rsidR="00F537F6" w:rsidRPr="0088338F" w:rsidRDefault="00F537F6" w:rsidP="003C18A9">
      <w:pPr>
        <w:jc w:val="both"/>
        <w:rPr>
          <w:rFonts w:ascii="Arial" w:hAnsi="Arial" w:cs="Arial"/>
          <w:sz w:val="20"/>
          <w:szCs w:val="20"/>
        </w:rPr>
      </w:pPr>
    </w:p>
    <w:p w14:paraId="7818E582" w14:textId="6E29AADA" w:rsidR="00DC7D69" w:rsidRPr="0088338F" w:rsidRDefault="00DC7D69" w:rsidP="008B7861">
      <w:pPr>
        <w:jc w:val="both"/>
        <w:rPr>
          <w:rFonts w:ascii="Arial" w:hAnsi="Arial" w:cs="Arial"/>
          <w:sz w:val="20"/>
          <w:szCs w:val="20"/>
        </w:rPr>
      </w:pPr>
      <w:r w:rsidRPr="0088338F">
        <w:rPr>
          <w:rFonts w:ascii="Arial" w:hAnsi="Arial" w:cs="Arial"/>
          <w:sz w:val="20"/>
          <w:szCs w:val="20"/>
        </w:rPr>
        <w:t>Všetky záväzky voči bankám sú do lehoty splatnosti.</w:t>
      </w:r>
    </w:p>
    <w:p w14:paraId="4F8C6C7F" w14:textId="77777777" w:rsidR="00DC7D69" w:rsidRPr="0088338F" w:rsidRDefault="00DC7D69" w:rsidP="008B7861">
      <w:pPr>
        <w:jc w:val="both"/>
        <w:rPr>
          <w:rFonts w:ascii="Arial" w:hAnsi="Arial" w:cs="Arial"/>
          <w:sz w:val="20"/>
          <w:szCs w:val="20"/>
        </w:rPr>
      </w:pPr>
    </w:p>
    <w:p w14:paraId="3E9D93A2" w14:textId="3757C26A" w:rsidR="008B7861" w:rsidRPr="0088338F" w:rsidRDefault="00DC7D69" w:rsidP="008B7861">
      <w:pPr>
        <w:jc w:val="both"/>
        <w:rPr>
          <w:rFonts w:ascii="Arial" w:hAnsi="Arial" w:cs="Arial"/>
          <w:sz w:val="20"/>
          <w:szCs w:val="20"/>
        </w:rPr>
      </w:pPr>
      <w:r w:rsidRPr="0088338F">
        <w:rPr>
          <w:rFonts w:ascii="Arial" w:hAnsi="Arial" w:cs="Arial"/>
          <w:sz w:val="20"/>
          <w:szCs w:val="20"/>
        </w:rPr>
        <w:t>Prijaté úvery od ECB k 31. decembru 2016 predstavujú úver v objeme 46 160 tis. EUR, splatný v septembri 2018 a úver v objeme 30 000 tis. EUR, splatný v júni 2020. Uvedené úvery sú zabezpečené cennými papiermi v reálnej hodnote 88 527 tis. EUR (31.12.2015: 76 185 tis. EUR), ktoré sú evidované vo výkaze o finančnej situácii v položkách „Cenné papiere k dispozícii na predaj“</w:t>
      </w:r>
      <w:r w:rsidR="00F85FFF" w:rsidRPr="0088338F">
        <w:rPr>
          <w:rFonts w:ascii="Arial" w:hAnsi="Arial" w:cs="Arial"/>
          <w:sz w:val="20"/>
          <w:szCs w:val="20"/>
        </w:rPr>
        <w:t xml:space="preserve"> </w:t>
      </w:r>
      <w:r w:rsidRPr="0088338F">
        <w:rPr>
          <w:rFonts w:ascii="Arial" w:hAnsi="Arial" w:cs="Arial"/>
          <w:sz w:val="20"/>
          <w:szCs w:val="20"/>
        </w:rPr>
        <w:t>a cennými papiermi v amortizovanej hodnote 35 992 tis. EUR (31.12.2015: 76 837 tis. EUR), ktoré sú evidované vo výkaze o finančnej situácii v položke „Cenné papiere držané do splatnosti“.</w:t>
      </w:r>
    </w:p>
    <w:p w14:paraId="0E409C43" w14:textId="77777777" w:rsidR="00595BE0" w:rsidRPr="0088338F" w:rsidRDefault="00595BE0" w:rsidP="003C18A9">
      <w:pPr>
        <w:jc w:val="both"/>
        <w:rPr>
          <w:rFonts w:ascii="Arial" w:hAnsi="Arial" w:cs="Arial"/>
          <w:sz w:val="20"/>
          <w:szCs w:val="20"/>
        </w:rPr>
      </w:pPr>
    </w:p>
    <w:p w14:paraId="5FB75F8C" w14:textId="77777777" w:rsidR="00297100" w:rsidRPr="0088338F" w:rsidRDefault="002C121A"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br w:type="page"/>
      </w:r>
      <w:r w:rsidR="00297100" w:rsidRPr="0088338F">
        <w:rPr>
          <w:rFonts w:ascii="Arial" w:hAnsi="Arial" w:cs="Arial"/>
          <w:b/>
          <w:caps/>
          <w:sz w:val="20"/>
          <w:szCs w:val="20"/>
        </w:rPr>
        <w:lastRenderedPageBreak/>
        <w:t>ZÁVäzky voči klientom</w:t>
      </w:r>
    </w:p>
    <w:p w14:paraId="18D97A51" w14:textId="77777777" w:rsidR="00297100" w:rsidRPr="0088338F" w:rsidRDefault="00297100" w:rsidP="003C18A9">
      <w:pPr>
        <w:jc w:val="both"/>
        <w:rPr>
          <w:rFonts w:ascii="Arial" w:hAnsi="Arial" w:cs="Arial"/>
          <w:sz w:val="20"/>
          <w:szCs w:val="20"/>
        </w:rPr>
      </w:pPr>
    </w:p>
    <w:p w14:paraId="6A3643F3" w14:textId="77777777" w:rsidR="00DD2053" w:rsidRPr="0088338F" w:rsidRDefault="00DD2053" w:rsidP="002B3BCE">
      <w:pPr>
        <w:numPr>
          <w:ilvl w:val="0"/>
          <w:numId w:val="6"/>
        </w:numPr>
        <w:tabs>
          <w:tab w:val="clear" w:pos="930"/>
          <w:tab w:val="left" w:pos="567"/>
        </w:tabs>
        <w:ind w:left="567" w:hanging="567"/>
        <w:jc w:val="both"/>
        <w:rPr>
          <w:rFonts w:ascii="Arial" w:hAnsi="Arial" w:cs="Arial"/>
          <w:b/>
          <w:bCs/>
          <w:sz w:val="20"/>
          <w:szCs w:val="20"/>
        </w:rPr>
      </w:pPr>
      <w:r w:rsidRPr="0088338F">
        <w:rPr>
          <w:rFonts w:ascii="Arial" w:hAnsi="Arial" w:cs="Arial"/>
          <w:b/>
          <w:bCs/>
          <w:sz w:val="20"/>
          <w:szCs w:val="20"/>
        </w:rPr>
        <w:t>Analýza záväzkov voči klientom podľa druhu</w:t>
      </w:r>
    </w:p>
    <w:p w14:paraId="3ED9A8E7" w14:textId="77777777" w:rsidR="00834531" w:rsidRPr="0088338F" w:rsidRDefault="00834531" w:rsidP="00834531">
      <w:pPr>
        <w:jc w:val="both"/>
        <w:rPr>
          <w:rFonts w:ascii="Arial" w:hAnsi="Arial" w:cs="Arial"/>
          <w:b/>
          <w:bCs/>
          <w:sz w:val="20"/>
          <w:szCs w:val="20"/>
        </w:rPr>
      </w:pPr>
    </w:p>
    <w:bookmarkStart w:id="790" w:name="_MON_1466489655"/>
    <w:bookmarkStart w:id="791" w:name="_MON_1264102854"/>
    <w:bookmarkStart w:id="792" w:name="_MON_1264102945"/>
    <w:bookmarkStart w:id="793" w:name="_MON_1264157647"/>
    <w:bookmarkStart w:id="794" w:name="_MON_1265644189"/>
    <w:bookmarkStart w:id="795" w:name="_MON_1265808691"/>
    <w:bookmarkStart w:id="796" w:name="_MON_1266497852"/>
    <w:bookmarkStart w:id="797" w:name="_MON_1288368209"/>
    <w:bookmarkStart w:id="798" w:name="_MON_1296806935"/>
    <w:bookmarkStart w:id="799" w:name="_MON_1322812185"/>
    <w:bookmarkStart w:id="800" w:name="_MON_1322812254"/>
    <w:bookmarkStart w:id="801" w:name="_MON_1328418345"/>
    <w:bookmarkStart w:id="802" w:name="_MON_1355235247"/>
    <w:bookmarkStart w:id="803" w:name="_MON_1359358004"/>
    <w:bookmarkStart w:id="804" w:name="_MON_1359358178"/>
    <w:bookmarkStart w:id="805" w:name="_MON_1389885713"/>
    <w:bookmarkStart w:id="806" w:name="_MON_1390561979"/>
    <w:bookmarkStart w:id="807" w:name="_MON_1390988164"/>
    <w:bookmarkStart w:id="808" w:name="_MON_1390988375"/>
    <w:bookmarkStart w:id="809" w:name="_MON_1391946631"/>
    <w:bookmarkStart w:id="810" w:name="_MON_1425191852"/>
    <w:bookmarkStart w:id="811" w:name="_MON_1425191872"/>
    <w:bookmarkStart w:id="812" w:name="_MON_1426923596"/>
    <w:bookmarkStart w:id="813" w:name="_MON_1426923682"/>
    <w:bookmarkStart w:id="814" w:name="_MON_1427099935"/>
    <w:bookmarkStart w:id="815" w:name="_MON_1456740747"/>
    <w:bookmarkStart w:id="816" w:name="_MON_1458644504"/>
    <w:bookmarkStart w:id="817" w:name="_MON_1458645319"/>
    <w:bookmarkStart w:id="818" w:name="_MON_1458645422"/>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Start w:id="819" w:name="_MON_1461477434"/>
    <w:bookmarkEnd w:id="819"/>
    <w:p w14:paraId="3F3187C6" w14:textId="3CCA1FB8" w:rsidR="000F7314" w:rsidRPr="0088338F" w:rsidRDefault="00EE58C9" w:rsidP="003C18A9">
      <w:pPr>
        <w:jc w:val="both"/>
        <w:rPr>
          <w:rFonts w:ascii="Arial" w:hAnsi="Arial" w:cs="Arial"/>
        </w:rPr>
      </w:pPr>
      <w:r w:rsidRPr="0088338F">
        <w:rPr>
          <w:rFonts w:ascii="Arial" w:hAnsi="Arial" w:cs="Arial"/>
        </w:rPr>
        <w:object w:dxaOrig="9669" w:dyaOrig="2027" w14:anchorId="78171CA9">
          <v:shape id="_x0000_i1051" type="#_x0000_t75" style="width:450.6pt;height:104.4pt" o:ole="" o:preferrelative="f">
            <v:imagedata r:id="rId80" o:title=""/>
            <o:lock v:ext="edit" aspectratio="f"/>
          </v:shape>
          <o:OLEObject Type="Embed" ProgID="Excel.Sheet.8" ShapeID="_x0000_i1051" DrawAspect="Content" ObjectID="_1551591552" r:id="rId81"/>
        </w:object>
      </w:r>
    </w:p>
    <w:p w14:paraId="6A32994F" w14:textId="77777777" w:rsidR="008D4A1A" w:rsidRPr="0088338F" w:rsidRDefault="008D4A1A" w:rsidP="003C18A9">
      <w:pPr>
        <w:jc w:val="both"/>
        <w:rPr>
          <w:rFonts w:ascii="Arial" w:hAnsi="Arial" w:cs="Arial"/>
        </w:rPr>
      </w:pPr>
    </w:p>
    <w:p w14:paraId="3230587F" w14:textId="2261C814" w:rsidR="00680899" w:rsidRPr="0088338F" w:rsidRDefault="00680899" w:rsidP="00680899">
      <w:pPr>
        <w:jc w:val="both"/>
        <w:rPr>
          <w:rFonts w:ascii="Arial" w:hAnsi="Arial" w:cs="Arial"/>
          <w:bCs/>
          <w:sz w:val="20"/>
          <w:szCs w:val="20"/>
        </w:rPr>
      </w:pPr>
      <w:r w:rsidRPr="0088338F">
        <w:rPr>
          <w:rFonts w:ascii="Arial" w:hAnsi="Arial" w:cs="Arial"/>
          <w:bCs/>
          <w:sz w:val="20"/>
          <w:szCs w:val="20"/>
        </w:rPr>
        <w:t>K 31. decembru 20</w:t>
      </w:r>
      <w:r w:rsidR="000D665C" w:rsidRPr="0088338F">
        <w:rPr>
          <w:rFonts w:ascii="Arial" w:hAnsi="Arial" w:cs="Arial"/>
          <w:bCs/>
          <w:sz w:val="20"/>
          <w:szCs w:val="20"/>
        </w:rPr>
        <w:t>1</w:t>
      </w:r>
      <w:r w:rsidR="00953AF0" w:rsidRPr="0088338F">
        <w:rPr>
          <w:rFonts w:ascii="Arial" w:hAnsi="Arial" w:cs="Arial"/>
          <w:bCs/>
          <w:sz w:val="20"/>
          <w:szCs w:val="20"/>
        </w:rPr>
        <w:t>6</w:t>
      </w:r>
      <w:r w:rsidRPr="0088338F">
        <w:rPr>
          <w:rFonts w:ascii="Arial" w:hAnsi="Arial" w:cs="Arial"/>
          <w:bCs/>
          <w:sz w:val="20"/>
          <w:szCs w:val="20"/>
        </w:rPr>
        <w:t xml:space="preserve"> podiel 15 najväčších klientov na celkových záväzkoch voči klientom dosiahol </w:t>
      </w:r>
      <w:r w:rsidR="004C0460" w:rsidRPr="0088338F">
        <w:rPr>
          <w:rFonts w:ascii="Arial" w:hAnsi="Arial" w:cs="Arial"/>
          <w:bCs/>
          <w:sz w:val="20"/>
          <w:szCs w:val="20"/>
        </w:rPr>
        <w:t>12,9</w:t>
      </w:r>
      <w:r w:rsidR="00FA0314" w:rsidRPr="0088338F">
        <w:rPr>
          <w:rFonts w:ascii="Arial" w:hAnsi="Arial" w:cs="Arial"/>
          <w:bCs/>
          <w:sz w:val="20"/>
          <w:szCs w:val="20"/>
        </w:rPr>
        <w:t xml:space="preserve"> </w:t>
      </w:r>
      <w:r w:rsidRPr="0088338F">
        <w:rPr>
          <w:rFonts w:ascii="Arial" w:hAnsi="Arial" w:cs="Arial"/>
          <w:bCs/>
          <w:sz w:val="20"/>
          <w:szCs w:val="20"/>
        </w:rPr>
        <w:t>%</w:t>
      </w:r>
      <w:r w:rsidR="00FA0314" w:rsidRPr="0088338F">
        <w:rPr>
          <w:rFonts w:ascii="Arial" w:hAnsi="Arial" w:cs="Arial"/>
          <w:bCs/>
          <w:sz w:val="20"/>
          <w:szCs w:val="20"/>
        </w:rPr>
        <w:t>,</w:t>
      </w:r>
      <w:r w:rsidRPr="0088338F">
        <w:rPr>
          <w:rFonts w:ascii="Arial" w:hAnsi="Arial" w:cs="Arial"/>
          <w:bCs/>
          <w:sz w:val="20"/>
          <w:szCs w:val="20"/>
        </w:rPr>
        <w:t xml:space="preserve"> čo predstavuje sumu </w:t>
      </w:r>
      <w:r w:rsidR="004C0460" w:rsidRPr="0088338F">
        <w:rPr>
          <w:rFonts w:ascii="Arial" w:hAnsi="Arial" w:cs="Arial"/>
          <w:bCs/>
          <w:sz w:val="20"/>
          <w:szCs w:val="20"/>
        </w:rPr>
        <w:t>56</w:t>
      </w:r>
      <w:r w:rsidR="00AF61FE" w:rsidRPr="0088338F">
        <w:rPr>
          <w:rFonts w:ascii="Arial" w:hAnsi="Arial" w:cs="Arial"/>
          <w:bCs/>
          <w:sz w:val="20"/>
          <w:szCs w:val="20"/>
        </w:rPr>
        <w:t xml:space="preserve"> </w:t>
      </w:r>
      <w:r w:rsidR="004C0460" w:rsidRPr="0088338F">
        <w:rPr>
          <w:rFonts w:ascii="Arial" w:hAnsi="Arial" w:cs="Arial"/>
          <w:bCs/>
          <w:sz w:val="20"/>
          <w:szCs w:val="20"/>
        </w:rPr>
        <w:t>6</w:t>
      </w:r>
      <w:r w:rsidR="00113FB0" w:rsidRPr="0088338F">
        <w:rPr>
          <w:rFonts w:ascii="Arial" w:hAnsi="Arial" w:cs="Arial"/>
          <w:bCs/>
          <w:sz w:val="20"/>
          <w:szCs w:val="20"/>
        </w:rPr>
        <w:t>93</w:t>
      </w:r>
      <w:r w:rsidRPr="0088338F">
        <w:rPr>
          <w:rFonts w:ascii="Arial" w:hAnsi="Arial" w:cs="Arial"/>
          <w:bCs/>
          <w:sz w:val="20"/>
          <w:szCs w:val="20"/>
        </w:rPr>
        <w:t xml:space="preserve"> tis. </w:t>
      </w:r>
      <w:r w:rsidR="007D3612" w:rsidRPr="0088338F">
        <w:rPr>
          <w:rFonts w:ascii="Arial" w:hAnsi="Arial" w:cs="Arial"/>
          <w:bCs/>
          <w:sz w:val="20"/>
          <w:szCs w:val="20"/>
        </w:rPr>
        <w:t>EUR</w:t>
      </w:r>
      <w:r w:rsidRPr="0088338F">
        <w:rPr>
          <w:rFonts w:ascii="Arial" w:hAnsi="Arial" w:cs="Arial"/>
          <w:bCs/>
          <w:sz w:val="20"/>
          <w:szCs w:val="20"/>
        </w:rPr>
        <w:t xml:space="preserve"> (20</w:t>
      </w:r>
      <w:r w:rsidR="0075527F" w:rsidRPr="0088338F">
        <w:rPr>
          <w:rFonts w:ascii="Arial" w:hAnsi="Arial" w:cs="Arial"/>
          <w:bCs/>
          <w:sz w:val="20"/>
          <w:szCs w:val="20"/>
        </w:rPr>
        <w:t>1</w:t>
      </w:r>
      <w:r w:rsidR="00953AF0" w:rsidRPr="0088338F">
        <w:rPr>
          <w:rFonts w:ascii="Arial" w:hAnsi="Arial" w:cs="Arial"/>
          <w:bCs/>
          <w:sz w:val="20"/>
          <w:szCs w:val="20"/>
        </w:rPr>
        <w:t>5</w:t>
      </w:r>
      <w:r w:rsidRPr="0088338F">
        <w:rPr>
          <w:rFonts w:ascii="Arial" w:hAnsi="Arial" w:cs="Arial"/>
          <w:bCs/>
          <w:sz w:val="20"/>
          <w:szCs w:val="20"/>
        </w:rPr>
        <w:t xml:space="preserve">: </w:t>
      </w:r>
      <w:r w:rsidR="00953AF0" w:rsidRPr="0088338F">
        <w:rPr>
          <w:rFonts w:ascii="Arial" w:hAnsi="Arial" w:cs="Arial"/>
          <w:bCs/>
          <w:sz w:val="20"/>
          <w:szCs w:val="20"/>
        </w:rPr>
        <w:t>19</w:t>
      </w:r>
      <w:r w:rsidR="00FA0314" w:rsidRPr="0088338F">
        <w:rPr>
          <w:rFonts w:ascii="Arial" w:hAnsi="Arial" w:cs="Arial"/>
          <w:bCs/>
          <w:sz w:val="20"/>
          <w:szCs w:val="20"/>
        </w:rPr>
        <w:t xml:space="preserve"> </w:t>
      </w:r>
      <w:r w:rsidRPr="0088338F">
        <w:rPr>
          <w:rFonts w:ascii="Arial" w:hAnsi="Arial" w:cs="Arial"/>
          <w:bCs/>
          <w:sz w:val="20"/>
          <w:szCs w:val="20"/>
        </w:rPr>
        <w:t xml:space="preserve">%, </w:t>
      </w:r>
      <w:r w:rsidR="00953AF0" w:rsidRPr="0088338F">
        <w:rPr>
          <w:rFonts w:ascii="Arial" w:hAnsi="Arial" w:cs="Arial"/>
          <w:bCs/>
          <w:sz w:val="20"/>
          <w:szCs w:val="20"/>
        </w:rPr>
        <w:t>79</w:t>
      </w:r>
      <w:r w:rsidR="0075527F" w:rsidRPr="0088338F">
        <w:rPr>
          <w:rFonts w:ascii="Arial" w:hAnsi="Arial" w:cs="Arial"/>
          <w:bCs/>
          <w:sz w:val="20"/>
          <w:szCs w:val="20"/>
        </w:rPr>
        <w:t xml:space="preserve"> </w:t>
      </w:r>
      <w:r w:rsidR="00953AF0" w:rsidRPr="0088338F">
        <w:rPr>
          <w:rFonts w:ascii="Arial" w:hAnsi="Arial" w:cs="Arial"/>
          <w:bCs/>
          <w:sz w:val="20"/>
          <w:szCs w:val="20"/>
        </w:rPr>
        <w:t>593</w:t>
      </w:r>
      <w:r w:rsidRPr="0088338F">
        <w:rPr>
          <w:rFonts w:ascii="Arial" w:hAnsi="Arial" w:cs="Arial"/>
          <w:bCs/>
          <w:sz w:val="20"/>
          <w:szCs w:val="20"/>
        </w:rPr>
        <w:t xml:space="preserve"> tis. </w:t>
      </w:r>
      <w:r w:rsidR="007D3612" w:rsidRPr="0088338F">
        <w:rPr>
          <w:rFonts w:ascii="Arial" w:hAnsi="Arial" w:cs="Arial"/>
          <w:bCs/>
          <w:sz w:val="20"/>
          <w:szCs w:val="20"/>
        </w:rPr>
        <w:t>EUR</w:t>
      </w:r>
      <w:r w:rsidRPr="0088338F">
        <w:rPr>
          <w:rFonts w:ascii="Arial" w:hAnsi="Arial" w:cs="Arial"/>
          <w:bCs/>
          <w:sz w:val="20"/>
          <w:szCs w:val="20"/>
        </w:rPr>
        <w:t>).</w:t>
      </w:r>
    </w:p>
    <w:p w14:paraId="03BFD017" w14:textId="77777777" w:rsidR="007D3612" w:rsidRPr="0088338F" w:rsidRDefault="007D3612" w:rsidP="00944A15">
      <w:pPr>
        <w:jc w:val="both"/>
        <w:rPr>
          <w:rFonts w:ascii="Arial" w:hAnsi="Arial" w:cs="Arial"/>
          <w:sz w:val="20"/>
          <w:szCs w:val="20"/>
        </w:rPr>
      </w:pPr>
    </w:p>
    <w:p w14:paraId="709EAE8F" w14:textId="1C4572F2" w:rsidR="00001488" w:rsidRPr="0088338F" w:rsidRDefault="00687A84" w:rsidP="00BC1C9F">
      <w:pPr>
        <w:jc w:val="both"/>
        <w:rPr>
          <w:rFonts w:ascii="Arial" w:hAnsi="Arial" w:cs="Arial"/>
          <w:sz w:val="20"/>
          <w:szCs w:val="20"/>
        </w:rPr>
      </w:pPr>
      <w:r w:rsidRPr="0088338F">
        <w:rPr>
          <w:rFonts w:ascii="Arial" w:hAnsi="Arial" w:cs="Arial"/>
          <w:sz w:val="20"/>
          <w:szCs w:val="20"/>
        </w:rPr>
        <w:t>Č</w:t>
      </w:r>
      <w:r w:rsidR="00001488" w:rsidRPr="0088338F">
        <w:rPr>
          <w:rFonts w:ascii="Arial" w:hAnsi="Arial" w:cs="Arial"/>
          <w:sz w:val="20"/>
          <w:szCs w:val="20"/>
        </w:rPr>
        <w:t>asť záväzkov voči klientom tvoria záväzky voči spriazneným stranám. Ich podiel na celkových záväzkoch voči klientom k 31. decembru 20</w:t>
      </w:r>
      <w:r w:rsidR="000D665C" w:rsidRPr="0088338F">
        <w:rPr>
          <w:rFonts w:ascii="Arial" w:hAnsi="Arial" w:cs="Arial"/>
          <w:sz w:val="20"/>
          <w:szCs w:val="20"/>
        </w:rPr>
        <w:t>1</w:t>
      </w:r>
      <w:r w:rsidR="00DA289E" w:rsidRPr="0088338F">
        <w:rPr>
          <w:rFonts w:ascii="Arial" w:hAnsi="Arial" w:cs="Arial"/>
          <w:sz w:val="20"/>
          <w:szCs w:val="20"/>
        </w:rPr>
        <w:t>6</w:t>
      </w:r>
      <w:r w:rsidR="00001488" w:rsidRPr="0088338F">
        <w:rPr>
          <w:rFonts w:ascii="Arial" w:hAnsi="Arial" w:cs="Arial"/>
          <w:sz w:val="20"/>
          <w:szCs w:val="20"/>
        </w:rPr>
        <w:t xml:space="preserve"> dosiahol </w:t>
      </w:r>
      <w:r w:rsidR="003F0C46" w:rsidRPr="0088338F">
        <w:rPr>
          <w:rFonts w:ascii="Arial" w:hAnsi="Arial" w:cs="Arial"/>
          <w:sz w:val="20"/>
          <w:szCs w:val="20"/>
        </w:rPr>
        <w:t>6,</w:t>
      </w:r>
      <w:r w:rsidR="004C0460" w:rsidRPr="0088338F">
        <w:rPr>
          <w:rFonts w:ascii="Arial" w:hAnsi="Arial" w:cs="Arial"/>
          <w:sz w:val="20"/>
          <w:szCs w:val="20"/>
        </w:rPr>
        <w:t>6</w:t>
      </w:r>
      <w:r w:rsidR="001C380F" w:rsidRPr="0088338F">
        <w:rPr>
          <w:rFonts w:ascii="Arial" w:hAnsi="Arial" w:cs="Arial"/>
          <w:sz w:val="20"/>
          <w:szCs w:val="20"/>
        </w:rPr>
        <w:t xml:space="preserve"> </w:t>
      </w:r>
      <w:r w:rsidR="00C961DE" w:rsidRPr="0088338F">
        <w:rPr>
          <w:rFonts w:ascii="Arial" w:hAnsi="Arial" w:cs="Arial"/>
          <w:sz w:val="20"/>
          <w:szCs w:val="20"/>
        </w:rPr>
        <w:t>%</w:t>
      </w:r>
      <w:r w:rsidR="00FA0314" w:rsidRPr="0088338F">
        <w:rPr>
          <w:rFonts w:ascii="Arial" w:hAnsi="Arial" w:cs="Arial"/>
          <w:sz w:val="20"/>
          <w:szCs w:val="20"/>
        </w:rPr>
        <w:t>,</w:t>
      </w:r>
      <w:r w:rsidR="00C961DE" w:rsidRPr="0088338F">
        <w:rPr>
          <w:rFonts w:ascii="Arial" w:hAnsi="Arial" w:cs="Arial"/>
          <w:sz w:val="20"/>
          <w:szCs w:val="20"/>
        </w:rPr>
        <w:t xml:space="preserve"> čo predstavuje sumu</w:t>
      </w:r>
      <w:r w:rsidR="000D665C" w:rsidRPr="0088338F">
        <w:rPr>
          <w:rFonts w:ascii="Arial" w:hAnsi="Arial" w:cs="Arial"/>
          <w:sz w:val="20"/>
          <w:szCs w:val="20"/>
        </w:rPr>
        <w:t xml:space="preserve"> </w:t>
      </w:r>
      <w:r w:rsidR="003F0C46" w:rsidRPr="0088338F">
        <w:rPr>
          <w:rFonts w:ascii="Arial" w:hAnsi="Arial" w:cs="Arial"/>
          <w:sz w:val="20"/>
          <w:szCs w:val="20"/>
        </w:rPr>
        <w:t>28</w:t>
      </w:r>
      <w:r w:rsidR="00361A8D" w:rsidRPr="0088338F">
        <w:rPr>
          <w:rFonts w:ascii="Arial" w:hAnsi="Arial" w:cs="Arial"/>
          <w:sz w:val="20"/>
          <w:szCs w:val="20"/>
        </w:rPr>
        <w:t> </w:t>
      </w:r>
      <w:r w:rsidR="00103662" w:rsidRPr="0088338F">
        <w:rPr>
          <w:rFonts w:ascii="Arial" w:hAnsi="Arial" w:cs="Arial"/>
          <w:sz w:val="20"/>
          <w:szCs w:val="20"/>
        </w:rPr>
        <w:t>9</w:t>
      </w:r>
      <w:r w:rsidR="003F0C46" w:rsidRPr="0088338F">
        <w:rPr>
          <w:rFonts w:ascii="Arial" w:hAnsi="Arial" w:cs="Arial"/>
          <w:sz w:val="20"/>
          <w:szCs w:val="20"/>
        </w:rPr>
        <w:t>32</w:t>
      </w:r>
      <w:r w:rsidR="00361A8D" w:rsidRPr="0088338F">
        <w:rPr>
          <w:rFonts w:ascii="Arial" w:hAnsi="Arial" w:cs="Arial"/>
          <w:sz w:val="20"/>
          <w:szCs w:val="20"/>
        </w:rPr>
        <w:t> </w:t>
      </w:r>
      <w:r w:rsidR="001C380F" w:rsidRPr="0088338F">
        <w:rPr>
          <w:rFonts w:ascii="Arial" w:hAnsi="Arial" w:cs="Arial"/>
          <w:sz w:val="20"/>
          <w:szCs w:val="20"/>
        </w:rPr>
        <w:t xml:space="preserve">tis. </w:t>
      </w:r>
      <w:r w:rsidR="007D3612" w:rsidRPr="0088338F">
        <w:rPr>
          <w:rFonts w:ascii="Arial" w:hAnsi="Arial" w:cs="Arial"/>
          <w:sz w:val="20"/>
          <w:szCs w:val="20"/>
        </w:rPr>
        <w:t>EUR</w:t>
      </w:r>
      <w:r w:rsidR="00C961DE" w:rsidRPr="0088338F">
        <w:rPr>
          <w:rFonts w:ascii="Arial" w:hAnsi="Arial" w:cs="Arial"/>
          <w:sz w:val="20"/>
          <w:szCs w:val="20"/>
        </w:rPr>
        <w:t xml:space="preserve"> (20</w:t>
      </w:r>
      <w:r w:rsidR="0075527F" w:rsidRPr="0088338F">
        <w:rPr>
          <w:rFonts w:ascii="Arial" w:hAnsi="Arial" w:cs="Arial"/>
          <w:sz w:val="20"/>
          <w:szCs w:val="20"/>
        </w:rPr>
        <w:t>1</w:t>
      </w:r>
      <w:r w:rsidR="00DA289E" w:rsidRPr="0088338F">
        <w:rPr>
          <w:rFonts w:ascii="Arial" w:hAnsi="Arial" w:cs="Arial"/>
          <w:sz w:val="20"/>
          <w:szCs w:val="20"/>
        </w:rPr>
        <w:t>5</w:t>
      </w:r>
      <w:r w:rsidR="00C961DE" w:rsidRPr="0088338F">
        <w:rPr>
          <w:rFonts w:ascii="Arial" w:hAnsi="Arial" w:cs="Arial"/>
          <w:sz w:val="20"/>
          <w:szCs w:val="20"/>
        </w:rPr>
        <w:t xml:space="preserve">: </w:t>
      </w:r>
      <w:r w:rsidR="003108F2" w:rsidRPr="0088338F">
        <w:rPr>
          <w:rFonts w:ascii="Arial" w:hAnsi="Arial" w:cs="Arial"/>
          <w:sz w:val="20"/>
          <w:szCs w:val="20"/>
        </w:rPr>
        <w:t>1</w:t>
      </w:r>
      <w:r w:rsidR="00DA289E" w:rsidRPr="0088338F">
        <w:rPr>
          <w:rFonts w:ascii="Arial" w:hAnsi="Arial" w:cs="Arial"/>
          <w:sz w:val="20"/>
          <w:szCs w:val="20"/>
        </w:rPr>
        <w:t>7</w:t>
      </w:r>
      <w:r w:rsidR="00C961DE" w:rsidRPr="0088338F">
        <w:rPr>
          <w:rFonts w:ascii="Arial" w:hAnsi="Arial" w:cs="Arial"/>
          <w:sz w:val="20"/>
          <w:szCs w:val="20"/>
        </w:rPr>
        <w:t xml:space="preserve"> %, </w:t>
      </w:r>
      <w:r w:rsidR="003108F2" w:rsidRPr="0088338F">
        <w:rPr>
          <w:rFonts w:ascii="Arial" w:hAnsi="Arial" w:cs="Arial"/>
          <w:sz w:val="20"/>
          <w:szCs w:val="20"/>
        </w:rPr>
        <w:t>7</w:t>
      </w:r>
      <w:r w:rsidR="00DA289E" w:rsidRPr="0088338F">
        <w:rPr>
          <w:rFonts w:ascii="Arial" w:hAnsi="Arial" w:cs="Arial"/>
          <w:sz w:val="20"/>
          <w:szCs w:val="20"/>
        </w:rPr>
        <w:t>0</w:t>
      </w:r>
      <w:r w:rsidR="0075527F" w:rsidRPr="0088338F">
        <w:rPr>
          <w:rFonts w:ascii="Arial" w:hAnsi="Arial" w:cs="Arial"/>
          <w:sz w:val="20"/>
          <w:szCs w:val="20"/>
        </w:rPr>
        <w:t xml:space="preserve"> </w:t>
      </w:r>
      <w:r w:rsidR="00DA289E" w:rsidRPr="0088338F">
        <w:rPr>
          <w:rFonts w:ascii="Arial" w:hAnsi="Arial" w:cs="Arial"/>
          <w:sz w:val="20"/>
          <w:szCs w:val="20"/>
        </w:rPr>
        <w:t>956</w:t>
      </w:r>
      <w:r w:rsidR="001C380F" w:rsidRPr="0088338F">
        <w:rPr>
          <w:rFonts w:ascii="Arial" w:hAnsi="Arial" w:cs="Arial"/>
          <w:sz w:val="20"/>
          <w:szCs w:val="20"/>
        </w:rPr>
        <w:t xml:space="preserve"> </w:t>
      </w:r>
      <w:r w:rsidR="007D3612" w:rsidRPr="0088338F">
        <w:rPr>
          <w:rFonts w:ascii="Arial" w:hAnsi="Arial" w:cs="Arial"/>
          <w:sz w:val="20"/>
          <w:szCs w:val="20"/>
        </w:rPr>
        <w:t>tis. EUR</w:t>
      </w:r>
      <w:r w:rsidR="00C961DE" w:rsidRPr="0088338F">
        <w:rPr>
          <w:rFonts w:ascii="Arial" w:hAnsi="Arial" w:cs="Arial"/>
          <w:sz w:val="20"/>
          <w:szCs w:val="20"/>
        </w:rPr>
        <w:t xml:space="preserve">). Ďalšie informácie </w:t>
      </w:r>
      <w:r w:rsidR="00FA0314" w:rsidRPr="0088338F">
        <w:rPr>
          <w:rFonts w:ascii="Arial" w:hAnsi="Arial" w:cs="Arial"/>
          <w:sz w:val="20"/>
          <w:szCs w:val="20"/>
        </w:rPr>
        <w:t xml:space="preserve">o </w:t>
      </w:r>
      <w:r w:rsidR="00C961DE" w:rsidRPr="0088338F">
        <w:rPr>
          <w:rFonts w:ascii="Arial" w:hAnsi="Arial" w:cs="Arial"/>
          <w:sz w:val="20"/>
          <w:szCs w:val="20"/>
        </w:rPr>
        <w:t>koncentráci</w:t>
      </w:r>
      <w:r w:rsidR="00FA0314" w:rsidRPr="0088338F">
        <w:rPr>
          <w:rFonts w:ascii="Arial" w:hAnsi="Arial" w:cs="Arial"/>
          <w:sz w:val="20"/>
          <w:szCs w:val="20"/>
        </w:rPr>
        <w:t>i</w:t>
      </w:r>
      <w:r w:rsidR="00C961DE" w:rsidRPr="0088338F">
        <w:rPr>
          <w:rFonts w:ascii="Arial" w:hAnsi="Arial" w:cs="Arial"/>
          <w:sz w:val="20"/>
          <w:szCs w:val="20"/>
        </w:rPr>
        <w:t xml:space="preserve"> voči spriazneným stranám sú uvedené v</w:t>
      </w:r>
      <w:r w:rsidR="00277FE0" w:rsidRPr="0088338F">
        <w:rPr>
          <w:rFonts w:ascii="Arial" w:hAnsi="Arial" w:cs="Arial"/>
          <w:sz w:val="20"/>
          <w:szCs w:val="20"/>
        </w:rPr>
        <w:t> pozn.</w:t>
      </w:r>
      <w:r w:rsidR="00C961DE" w:rsidRPr="0088338F">
        <w:rPr>
          <w:rFonts w:ascii="Arial" w:hAnsi="Arial" w:cs="Arial"/>
          <w:sz w:val="20"/>
          <w:szCs w:val="20"/>
        </w:rPr>
        <w:t xml:space="preserve"> 3</w:t>
      </w:r>
      <w:r w:rsidR="00105083" w:rsidRPr="0088338F">
        <w:rPr>
          <w:rFonts w:ascii="Arial" w:hAnsi="Arial" w:cs="Arial"/>
          <w:sz w:val="20"/>
          <w:szCs w:val="20"/>
        </w:rPr>
        <w:t>6</w:t>
      </w:r>
      <w:r w:rsidR="0058294A" w:rsidRPr="0088338F">
        <w:rPr>
          <w:rFonts w:ascii="Arial" w:hAnsi="Arial" w:cs="Arial"/>
          <w:sz w:val="20"/>
          <w:szCs w:val="20"/>
        </w:rPr>
        <w:t>.</w:t>
      </w:r>
    </w:p>
    <w:p w14:paraId="129BAA99" w14:textId="77777777" w:rsidR="00944A15" w:rsidRPr="0088338F" w:rsidRDefault="00944A15" w:rsidP="003C18A9">
      <w:pPr>
        <w:jc w:val="both"/>
        <w:rPr>
          <w:rFonts w:ascii="Arial" w:hAnsi="Arial" w:cs="Arial"/>
          <w:sz w:val="20"/>
          <w:szCs w:val="20"/>
        </w:rPr>
      </w:pPr>
    </w:p>
    <w:p w14:paraId="78EC72CA" w14:textId="77777777" w:rsidR="00AF5E12" w:rsidRPr="0088338F" w:rsidRDefault="00AF5E12" w:rsidP="003C18A9">
      <w:pPr>
        <w:jc w:val="both"/>
        <w:rPr>
          <w:rFonts w:ascii="Arial" w:hAnsi="Arial" w:cs="Arial"/>
          <w:sz w:val="20"/>
          <w:szCs w:val="20"/>
        </w:rPr>
      </w:pPr>
      <w:r w:rsidRPr="0088338F">
        <w:rPr>
          <w:rFonts w:ascii="Arial" w:hAnsi="Arial" w:cs="Arial"/>
          <w:sz w:val="20"/>
          <w:szCs w:val="20"/>
        </w:rPr>
        <w:t>Všetky záväzky voči klientom sú do lehoty splatnosti.</w:t>
      </w:r>
    </w:p>
    <w:p w14:paraId="21FCACF7" w14:textId="77777777" w:rsidR="00715A00" w:rsidRPr="0088338F" w:rsidRDefault="00715A00" w:rsidP="003C18A9">
      <w:pPr>
        <w:jc w:val="both"/>
        <w:rPr>
          <w:rFonts w:ascii="Arial" w:hAnsi="Arial" w:cs="Arial"/>
          <w:sz w:val="20"/>
          <w:szCs w:val="20"/>
        </w:rPr>
      </w:pPr>
    </w:p>
    <w:p w14:paraId="758443B0" w14:textId="77777777" w:rsidR="00DD2053" w:rsidRPr="0088338F" w:rsidRDefault="00DD2053" w:rsidP="002B3BCE">
      <w:pPr>
        <w:numPr>
          <w:ilvl w:val="0"/>
          <w:numId w:val="6"/>
        </w:numPr>
        <w:tabs>
          <w:tab w:val="clear" w:pos="930"/>
          <w:tab w:val="left" w:pos="567"/>
        </w:tabs>
        <w:ind w:left="567" w:hanging="567"/>
        <w:jc w:val="both"/>
        <w:rPr>
          <w:rFonts w:ascii="Arial" w:hAnsi="Arial" w:cs="Arial"/>
          <w:b/>
          <w:bCs/>
          <w:sz w:val="20"/>
          <w:szCs w:val="20"/>
        </w:rPr>
      </w:pPr>
      <w:r w:rsidRPr="0088338F">
        <w:rPr>
          <w:rFonts w:ascii="Arial" w:hAnsi="Arial" w:cs="Arial"/>
          <w:b/>
          <w:bCs/>
          <w:sz w:val="20"/>
          <w:szCs w:val="20"/>
        </w:rPr>
        <w:t xml:space="preserve">Analýza záväzkov voči klientom podľa </w:t>
      </w:r>
      <w:r w:rsidR="00834531" w:rsidRPr="0088338F">
        <w:rPr>
          <w:rFonts w:ascii="Arial" w:hAnsi="Arial" w:cs="Arial"/>
          <w:b/>
          <w:bCs/>
          <w:sz w:val="20"/>
          <w:szCs w:val="20"/>
        </w:rPr>
        <w:t>sektorového hľadiska</w:t>
      </w:r>
    </w:p>
    <w:p w14:paraId="6E25AD79" w14:textId="77777777" w:rsidR="00DD2053" w:rsidRPr="0088338F" w:rsidRDefault="00DD2053" w:rsidP="003C18A9">
      <w:pPr>
        <w:jc w:val="both"/>
        <w:rPr>
          <w:rFonts w:ascii="Arial" w:hAnsi="Arial" w:cs="Arial"/>
          <w:sz w:val="20"/>
          <w:szCs w:val="20"/>
        </w:rPr>
      </w:pPr>
    </w:p>
    <w:bookmarkStart w:id="820" w:name="_MON_1217411262"/>
    <w:bookmarkStart w:id="821" w:name="_MON_1217411392"/>
    <w:bookmarkStart w:id="822" w:name="_MON_1232171430"/>
    <w:bookmarkStart w:id="823" w:name="_MON_1232171667"/>
    <w:bookmarkStart w:id="824" w:name="_MON_1249395211"/>
    <w:bookmarkStart w:id="825" w:name="_MON_1264160180"/>
    <w:bookmarkStart w:id="826" w:name="_MON_1288368323"/>
    <w:bookmarkStart w:id="827" w:name="_MON_1288368435"/>
    <w:bookmarkStart w:id="828" w:name="_MON_1296980473"/>
    <w:bookmarkStart w:id="829" w:name="_MON_1322812662"/>
    <w:bookmarkStart w:id="830" w:name="_MON_1328454062"/>
    <w:bookmarkStart w:id="831" w:name="_MON_1355235374"/>
    <w:bookmarkStart w:id="832" w:name="_MON_1359464553"/>
    <w:bookmarkStart w:id="833" w:name="_MON_1359464642"/>
    <w:bookmarkStart w:id="834" w:name="_MON_1389885827"/>
    <w:bookmarkStart w:id="835" w:name="_MON_1390652537"/>
    <w:bookmarkStart w:id="836" w:name="_MON_1391947277"/>
    <w:bookmarkStart w:id="837" w:name="_MON_1422086513"/>
    <w:bookmarkStart w:id="838" w:name="_MON_1422271468"/>
    <w:bookmarkStart w:id="839" w:name="_MON_1422271718"/>
    <w:bookmarkStart w:id="840" w:name="_MON_1453636639"/>
    <w:bookmarkStart w:id="841" w:name="_MON_1454222768"/>
    <w:bookmarkStart w:id="842" w:name="_MON_1216385791"/>
    <w:bookmarkStart w:id="843" w:name="_MON_1217333289"/>
    <w:bookmarkStart w:id="844" w:name="_MON_1217333347"/>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Start w:id="845" w:name="_MON_1217410733"/>
    <w:bookmarkEnd w:id="845"/>
    <w:p w14:paraId="367CE295" w14:textId="27A55101" w:rsidR="00075098" w:rsidRPr="0088338F" w:rsidRDefault="00A31CB2" w:rsidP="003C18A9">
      <w:pPr>
        <w:jc w:val="both"/>
        <w:rPr>
          <w:rFonts w:ascii="Arial" w:hAnsi="Arial" w:cs="Arial"/>
          <w:sz w:val="20"/>
          <w:szCs w:val="20"/>
        </w:rPr>
      </w:pPr>
      <w:r w:rsidRPr="0088338F">
        <w:rPr>
          <w:rFonts w:ascii="Arial" w:hAnsi="Arial" w:cs="Arial"/>
        </w:rPr>
        <w:object w:dxaOrig="9669" w:dyaOrig="5241" w14:anchorId="484F57FC">
          <v:shape id="_x0000_i1052" type="#_x0000_t75" style="width:450.6pt;height:270.6pt" o:ole="" o:preferrelative="f">
            <v:imagedata r:id="rId82" o:title=""/>
            <o:lock v:ext="edit" aspectratio="f"/>
          </v:shape>
          <o:OLEObject Type="Embed" ProgID="Excel.Sheet.8" ShapeID="_x0000_i1052" DrawAspect="Content" ObjectID="_1551591553" r:id="rId83"/>
        </w:object>
      </w:r>
    </w:p>
    <w:p w14:paraId="700D500F" w14:textId="77777777" w:rsidR="00946CBE" w:rsidRPr="0088338F" w:rsidRDefault="00946CBE" w:rsidP="003C18A9">
      <w:pPr>
        <w:jc w:val="both"/>
        <w:rPr>
          <w:rFonts w:ascii="Arial" w:hAnsi="Arial" w:cs="Arial"/>
          <w:sz w:val="20"/>
          <w:szCs w:val="20"/>
        </w:rPr>
      </w:pPr>
    </w:p>
    <w:p w14:paraId="49C538CC" w14:textId="77777777" w:rsidR="00CD1552" w:rsidRPr="0088338F" w:rsidRDefault="00CD1552" w:rsidP="003C18A9">
      <w:pPr>
        <w:jc w:val="both"/>
        <w:rPr>
          <w:rFonts w:ascii="Arial" w:hAnsi="Arial" w:cs="Arial"/>
          <w:sz w:val="20"/>
          <w:szCs w:val="20"/>
        </w:rPr>
      </w:pPr>
    </w:p>
    <w:p w14:paraId="2E20D2EF" w14:textId="77777777" w:rsidR="00FE2410" w:rsidRPr="0088338F" w:rsidRDefault="002C121A"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br w:type="page"/>
      </w:r>
      <w:r w:rsidR="00FE2410" w:rsidRPr="0088338F">
        <w:rPr>
          <w:rFonts w:ascii="Arial" w:hAnsi="Arial" w:cs="Arial"/>
          <w:b/>
          <w:caps/>
          <w:sz w:val="20"/>
          <w:szCs w:val="20"/>
        </w:rPr>
        <w:lastRenderedPageBreak/>
        <w:t>ZÁVäzky Z DLHOVÝCH CENNÝCH PAPIEROV</w:t>
      </w:r>
    </w:p>
    <w:p w14:paraId="3C48F916" w14:textId="77777777" w:rsidR="00FE2410" w:rsidRPr="0088338F" w:rsidRDefault="00FE2410" w:rsidP="00FE2410">
      <w:pPr>
        <w:jc w:val="both"/>
        <w:rPr>
          <w:rFonts w:ascii="Arial" w:hAnsi="Arial" w:cs="Arial"/>
          <w:sz w:val="20"/>
          <w:szCs w:val="20"/>
        </w:rPr>
      </w:pPr>
    </w:p>
    <w:p w14:paraId="568887CC" w14:textId="77777777" w:rsidR="00834531" w:rsidRPr="0088338F" w:rsidRDefault="00834531" w:rsidP="002B3BCE">
      <w:pPr>
        <w:numPr>
          <w:ilvl w:val="0"/>
          <w:numId w:val="7"/>
        </w:numPr>
        <w:tabs>
          <w:tab w:val="clear" w:pos="930"/>
          <w:tab w:val="left" w:pos="567"/>
        </w:tabs>
        <w:ind w:left="567" w:hanging="567"/>
        <w:jc w:val="both"/>
        <w:rPr>
          <w:rFonts w:ascii="Arial" w:hAnsi="Arial" w:cs="Arial"/>
          <w:b/>
          <w:bCs/>
          <w:sz w:val="20"/>
          <w:szCs w:val="20"/>
        </w:rPr>
      </w:pPr>
      <w:r w:rsidRPr="0088338F">
        <w:rPr>
          <w:rFonts w:ascii="Arial" w:hAnsi="Arial" w:cs="Arial"/>
          <w:b/>
          <w:bCs/>
          <w:sz w:val="20"/>
          <w:szCs w:val="20"/>
        </w:rPr>
        <w:t xml:space="preserve">Analýza záväzkov </w:t>
      </w:r>
      <w:r w:rsidR="00913CFA" w:rsidRPr="0088338F">
        <w:rPr>
          <w:rFonts w:ascii="Arial" w:hAnsi="Arial" w:cs="Arial"/>
          <w:b/>
          <w:bCs/>
          <w:sz w:val="20"/>
          <w:szCs w:val="20"/>
        </w:rPr>
        <w:t>z dlhových cenných papierov</w:t>
      </w:r>
      <w:r w:rsidRPr="0088338F">
        <w:rPr>
          <w:rFonts w:ascii="Arial" w:hAnsi="Arial" w:cs="Arial"/>
          <w:b/>
          <w:bCs/>
          <w:sz w:val="20"/>
          <w:szCs w:val="20"/>
        </w:rPr>
        <w:t xml:space="preserve"> podľa druhu</w:t>
      </w:r>
    </w:p>
    <w:p w14:paraId="4ECE8FE6" w14:textId="77777777" w:rsidR="00834531" w:rsidRPr="0088338F" w:rsidRDefault="00834531" w:rsidP="00FE2410">
      <w:pPr>
        <w:jc w:val="both"/>
        <w:rPr>
          <w:rFonts w:ascii="Arial" w:hAnsi="Arial" w:cs="Arial"/>
          <w:sz w:val="20"/>
          <w:szCs w:val="20"/>
        </w:rPr>
      </w:pPr>
    </w:p>
    <w:bookmarkStart w:id="846" w:name="_MON_1395736451"/>
    <w:bookmarkStart w:id="847" w:name="_MON_1395736495"/>
    <w:bookmarkStart w:id="848" w:name="_MON_1395736549"/>
    <w:bookmarkStart w:id="849" w:name="_MON_1424761898"/>
    <w:bookmarkStart w:id="850" w:name="_MON_1425191924"/>
    <w:bookmarkStart w:id="851" w:name="_MON_1426924817"/>
    <w:bookmarkStart w:id="852" w:name="_MON_1456740831"/>
    <w:bookmarkStart w:id="853" w:name="_MON_1458645612"/>
    <w:bookmarkStart w:id="854" w:name="_MON_1461477448"/>
    <w:bookmarkStart w:id="855" w:name="_MON_1466427286"/>
    <w:bookmarkStart w:id="856" w:name="_MON_1216386280"/>
    <w:bookmarkStart w:id="857" w:name="_MON_1217333994"/>
    <w:bookmarkStart w:id="858" w:name="_MON_1217334513"/>
    <w:bookmarkStart w:id="859" w:name="_MON_1217334525"/>
    <w:bookmarkStart w:id="860" w:name="_MON_1232006397"/>
    <w:bookmarkStart w:id="861" w:name="_MON_1249395251"/>
    <w:bookmarkStart w:id="862" w:name="_MON_1264103104"/>
    <w:bookmarkStart w:id="863" w:name="_MON_1269584831"/>
    <w:bookmarkStart w:id="864" w:name="_MON_1276943321"/>
    <w:bookmarkStart w:id="865" w:name="_MON_1284995376"/>
    <w:bookmarkStart w:id="866" w:name="_MON_1284995389"/>
    <w:bookmarkStart w:id="867" w:name="_MON_1293457509"/>
    <w:bookmarkStart w:id="868" w:name="_MON_1293457590"/>
    <w:bookmarkStart w:id="869" w:name="_MON_1300715714"/>
    <w:bookmarkStart w:id="870" w:name="_MON_1308554408"/>
    <w:bookmarkStart w:id="871" w:name="_MON_1316526857"/>
    <w:bookmarkStart w:id="872" w:name="_MON_1324811806"/>
    <w:bookmarkStart w:id="873" w:name="_MON_1332410171"/>
    <w:bookmarkStart w:id="874" w:name="_MON_1332410236"/>
    <w:bookmarkStart w:id="875" w:name="_MON_1340190186"/>
    <w:bookmarkStart w:id="876" w:name="_MON_1348581686"/>
    <w:bookmarkStart w:id="877" w:name="_MON_1356333883"/>
    <w:bookmarkStart w:id="878" w:name="_MON_1356333953"/>
    <w:bookmarkStart w:id="879" w:name="_MON_1363960983"/>
    <w:bookmarkStart w:id="880" w:name="_MON_1372071971"/>
    <w:bookmarkStart w:id="881" w:name="_MON_1380096822"/>
    <w:bookmarkStart w:id="882" w:name="_MON_1387455719"/>
    <w:bookmarkStart w:id="883" w:name="_MON_1387455746"/>
    <w:bookmarkStart w:id="884" w:name="_MON_1395041381"/>
    <w:bookmarkStart w:id="885" w:name="OLE_LINK7"/>
    <w:bookmarkStart w:id="886" w:name="OLE_LINK8"/>
    <w:bookmarkStart w:id="887" w:name="OLE_LINK21"/>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Start w:id="888" w:name="_MON_1395041407"/>
    <w:bookmarkEnd w:id="888"/>
    <w:p w14:paraId="65734EE2" w14:textId="7EF787BC" w:rsidR="00FE2410" w:rsidRPr="0088338F" w:rsidRDefault="00DA289E" w:rsidP="003C18A9">
      <w:pPr>
        <w:jc w:val="both"/>
        <w:rPr>
          <w:rFonts w:ascii="Arial" w:hAnsi="Arial" w:cs="Arial"/>
          <w:sz w:val="20"/>
          <w:szCs w:val="20"/>
        </w:rPr>
      </w:pPr>
      <w:r w:rsidRPr="0088338F">
        <w:rPr>
          <w:rFonts w:ascii="Arial" w:hAnsi="Arial" w:cs="Arial"/>
        </w:rPr>
        <w:object w:dxaOrig="9669" w:dyaOrig="1532" w14:anchorId="26EF42A7">
          <v:shape id="_x0000_i1053" type="#_x0000_t75" style="width:450.6pt;height:78pt" o:ole="" o:preferrelative="f">
            <v:imagedata r:id="rId84" o:title=""/>
            <o:lock v:ext="edit" aspectratio="f"/>
          </v:shape>
          <o:OLEObject Type="Embed" ProgID="Excel.Sheet.8" ShapeID="_x0000_i1053" DrawAspect="Content" ObjectID="_1551591554" r:id="rId85"/>
        </w:object>
      </w:r>
      <w:bookmarkEnd w:id="885"/>
      <w:bookmarkEnd w:id="886"/>
      <w:bookmarkEnd w:id="887"/>
    </w:p>
    <w:p w14:paraId="13A61643" w14:textId="77777777" w:rsidR="002C121A" w:rsidRPr="0088338F" w:rsidRDefault="002C121A" w:rsidP="003C18A9">
      <w:pPr>
        <w:jc w:val="both"/>
        <w:rPr>
          <w:rFonts w:ascii="Arial" w:hAnsi="Arial" w:cs="Arial"/>
          <w:sz w:val="20"/>
          <w:szCs w:val="20"/>
        </w:rPr>
      </w:pPr>
    </w:p>
    <w:p w14:paraId="65B0B9DE" w14:textId="77777777" w:rsidR="00AF5E12" w:rsidRPr="0088338F" w:rsidRDefault="00AF5E12" w:rsidP="003C18A9">
      <w:pPr>
        <w:jc w:val="both"/>
        <w:rPr>
          <w:rFonts w:ascii="Arial" w:hAnsi="Arial" w:cs="Arial"/>
          <w:sz w:val="20"/>
          <w:szCs w:val="20"/>
        </w:rPr>
      </w:pPr>
      <w:r w:rsidRPr="0088338F">
        <w:rPr>
          <w:rFonts w:ascii="Arial" w:hAnsi="Arial" w:cs="Arial"/>
          <w:sz w:val="20"/>
          <w:szCs w:val="20"/>
        </w:rPr>
        <w:t>Všetky záväzky z dlhových cenných papierov sú do lehoty splatnosti.</w:t>
      </w:r>
    </w:p>
    <w:p w14:paraId="47D755F6" w14:textId="77777777" w:rsidR="00B53ED8" w:rsidRPr="0088338F" w:rsidRDefault="00B53ED8" w:rsidP="003C18A9">
      <w:pPr>
        <w:jc w:val="both"/>
        <w:rPr>
          <w:rFonts w:ascii="Arial" w:hAnsi="Arial" w:cs="Arial"/>
          <w:sz w:val="20"/>
          <w:szCs w:val="20"/>
        </w:rPr>
      </w:pPr>
    </w:p>
    <w:p w14:paraId="2B098FD1" w14:textId="77777777" w:rsidR="000F4C1C" w:rsidRPr="0088338F" w:rsidRDefault="000F4C1C" w:rsidP="002B3BCE">
      <w:pPr>
        <w:numPr>
          <w:ilvl w:val="0"/>
          <w:numId w:val="7"/>
        </w:numPr>
        <w:tabs>
          <w:tab w:val="clear" w:pos="930"/>
          <w:tab w:val="left" w:pos="567"/>
        </w:tabs>
        <w:ind w:left="567" w:hanging="567"/>
        <w:jc w:val="both"/>
        <w:rPr>
          <w:rFonts w:ascii="Arial" w:hAnsi="Arial" w:cs="Arial"/>
          <w:b/>
          <w:bCs/>
          <w:sz w:val="20"/>
          <w:szCs w:val="20"/>
        </w:rPr>
      </w:pPr>
      <w:r w:rsidRPr="0088338F">
        <w:rPr>
          <w:rFonts w:ascii="Arial" w:hAnsi="Arial" w:cs="Arial"/>
          <w:b/>
          <w:bCs/>
          <w:sz w:val="20"/>
          <w:szCs w:val="20"/>
        </w:rPr>
        <w:t>Prehľad vydaných dlhopisov</w:t>
      </w:r>
    </w:p>
    <w:p w14:paraId="28DF0969" w14:textId="77777777" w:rsidR="00AF5E12" w:rsidRPr="0088338F" w:rsidRDefault="00AF5E12" w:rsidP="003C18A9">
      <w:pPr>
        <w:jc w:val="both"/>
        <w:rPr>
          <w:rFonts w:ascii="Arial" w:hAnsi="Arial" w:cs="Arial"/>
          <w:sz w:val="20"/>
          <w:szCs w:val="20"/>
        </w:rPr>
      </w:pPr>
    </w:p>
    <w:bookmarkStart w:id="889" w:name="_MON_1298113889"/>
    <w:bookmarkStart w:id="890" w:name="_MON_1298113941"/>
    <w:bookmarkStart w:id="891" w:name="_MON_1298114098"/>
    <w:bookmarkStart w:id="892" w:name="_MON_1298114247"/>
    <w:bookmarkStart w:id="893" w:name="_MON_1322813380"/>
    <w:bookmarkStart w:id="894" w:name="_MON_1322813678"/>
    <w:bookmarkStart w:id="895" w:name="_MON_1322813694"/>
    <w:bookmarkStart w:id="896" w:name="_MON_1322813708"/>
    <w:bookmarkStart w:id="897" w:name="_MON_1328420768"/>
    <w:bookmarkStart w:id="898" w:name="_MON_1328420855"/>
    <w:bookmarkStart w:id="899" w:name="_MON_1328420923"/>
    <w:bookmarkStart w:id="900" w:name="_MON_1328421102"/>
    <w:bookmarkStart w:id="901" w:name="_MON_1355235510"/>
    <w:bookmarkStart w:id="902" w:name="_MON_1355235540"/>
    <w:bookmarkStart w:id="903" w:name="_MON_1355235682"/>
    <w:bookmarkStart w:id="904" w:name="_MON_1359136748"/>
    <w:bookmarkStart w:id="905" w:name="_MON_1359359703"/>
    <w:bookmarkStart w:id="906" w:name="_MON_1359359860"/>
    <w:bookmarkStart w:id="907" w:name="_MON_1359360398"/>
    <w:bookmarkStart w:id="908" w:name="_MON_1359360505"/>
    <w:bookmarkStart w:id="909" w:name="_MON_1361087651"/>
    <w:bookmarkStart w:id="910" w:name="_MON_1389885982"/>
    <w:bookmarkStart w:id="911" w:name="_MON_1389886077"/>
    <w:bookmarkStart w:id="912" w:name="_MON_1389886089"/>
    <w:bookmarkStart w:id="913" w:name="_MON_1389886372"/>
    <w:bookmarkStart w:id="914" w:name="_MON_1390562622"/>
    <w:bookmarkStart w:id="915" w:name="_MON_1390640636"/>
    <w:bookmarkStart w:id="916" w:name="_MON_1390640683"/>
    <w:bookmarkStart w:id="917" w:name="_MON_1390640713"/>
    <w:bookmarkStart w:id="918" w:name="_MON_1390640738"/>
    <w:bookmarkStart w:id="919" w:name="_MON_1390640764"/>
    <w:bookmarkStart w:id="920" w:name="_MON_1390640785"/>
    <w:bookmarkStart w:id="921" w:name="_MON_1390641295"/>
    <w:bookmarkStart w:id="922" w:name="_MON_1390890835"/>
    <w:bookmarkStart w:id="923" w:name="_MON_1390890880"/>
    <w:bookmarkStart w:id="924" w:name="_MON_1390890949"/>
    <w:bookmarkStart w:id="925" w:name="_MON_1390891032"/>
    <w:bookmarkStart w:id="926" w:name="_MON_1390988496"/>
    <w:bookmarkStart w:id="927" w:name="_MON_1422086616"/>
    <w:bookmarkStart w:id="928" w:name="_MON_1422250306"/>
    <w:bookmarkStart w:id="929" w:name="_MON_1422251352"/>
    <w:bookmarkStart w:id="930" w:name="_MON_1422251578"/>
    <w:bookmarkStart w:id="931" w:name="_MON_1422253114"/>
    <w:bookmarkStart w:id="932" w:name="_MON_1422333379"/>
    <w:bookmarkStart w:id="933" w:name="_MON_1422333415"/>
    <w:bookmarkStart w:id="934" w:name="_MON_1422333486"/>
    <w:bookmarkStart w:id="935" w:name="_MON_1422338042"/>
    <w:bookmarkStart w:id="936" w:name="_MON_1422687755"/>
    <w:bookmarkStart w:id="937" w:name="_MON_1453636778"/>
    <w:bookmarkStart w:id="938" w:name="_MON_1453636858"/>
    <w:bookmarkStart w:id="939" w:name="_MON_1453637072"/>
    <w:bookmarkStart w:id="940" w:name="_MON_1453637141"/>
    <w:bookmarkStart w:id="941" w:name="_MON_1453637167"/>
    <w:bookmarkStart w:id="942" w:name="_MON_1453794248"/>
    <w:bookmarkStart w:id="943" w:name="_MON_1453794516"/>
    <w:bookmarkStart w:id="944" w:name="_MON_1453794857"/>
    <w:bookmarkStart w:id="945" w:name="_MON_1453794875"/>
    <w:bookmarkStart w:id="946" w:name="_MON_1453794906"/>
    <w:bookmarkStart w:id="947" w:name="_MON_1453794959"/>
    <w:bookmarkStart w:id="948" w:name="_MON_1453795010"/>
    <w:bookmarkStart w:id="949" w:name="_MON_1453795028"/>
    <w:bookmarkStart w:id="950" w:name="_MON_1297160707"/>
    <w:bookmarkStart w:id="951" w:name="_MON_1297160843"/>
    <w:bookmarkStart w:id="952" w:name="_MON_1297160942"/>
    <w:bookmarkStart w:id="953" w:name="_MON_1297161126"/>
    <w:bookmarkStart w:id="954" w:name="_MON_1297161266"/>
    <w:bookmarkStart w:id="955" w:name="_MON_1297161274"/>
    <w:bookmarkStart w:id="956" w:name="_MON_1297161287"/>
    <w:bookmarkStart w:id="957" w:name="_MON_1297161295"/>
    <w:bookmarkStart w:id="958" w:name="_MON_1297161317"/>
    <w:bookmarkStart w:id="959" w:name="_MON_1297161327"/>
    <w:bookmarkStart w:id="960" w:name="_MON_1297161349"/>
    <w:bookmarkStart w:id="961" w:name="_MON_1297161374"/>
    <w:bookmarkStart w:id="962" w:name="_MON_1297161412"/>
    <w:bookmarkStart w:id="963" w:name="_MON_1297161424"/>
    <w:bookmarkStart w:id="964" w:name="_MON_1297161462"/>
    <w:bookmarkStart w:id="965" w:name="_MON_1297161616"/>
    <w:bookmarkStart w:id="966" w:name="_MON_1297161766"/>
    <w:bookmarkStart w:id="967" w:name="_MON_1297161803"/>
    <w:bookmarkStart w:id="968" w:name="_MON_1297161831"/>
    <w:bookmarkStart w:id="969" w:name="_MON_1297161863"/>
    <w:bookmarkStart w:id="970" w:name="_MON_1297161902"/>
    <w:bookmarkStart w:id="971" w:name="_MON_1297162039"/>
    <w:bookmarkStart w:id="972" w:name="_MON_1297162125"/>
    <w:bookmarkStart w:id="973" w:name="_MON_1297186194"/>
    <w:bookmarkStart w:id="974" w:name="_MON_1297273763"/>
    <w:bookmarkStart w:id="975" w:name="_MON_1298101411"/>
    <w:bookmarkStart w:id="976" w:name="_MON_1298101706"/>
    <w:bookmarkStart w:id="977" w:name="_MON_1298101737"/>
    <w:bookmarkStart w:id="978" w:name="_MON_1298113730"/>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Start w:id="979" w:name="_MON_1298113788"/>
    <w:bookmarkEnd w:id="979"/>
    <w:p w14:paraId="0F78DBBC" w14:textId="60113E7E" w:rsidR="00335C12" w:rsidRPr="0088338F" w:rsidRDefault="00895A83" w:rsidP="00272023">
      <w:pPr>
        <w:jc w:val="both"/>
        <w:rPr>
          <w:rFonts w:ascii="Arial" w:hAnsi="Arial" w:cs="Arial"/>
          <w:sz w:val="20"/>
          <w:szCs w:val="20"/>
        </w:rPr>
      </w:pPr>
      <w:r w:rsidRPr="0088338F">
        <w:rPr>
          <w:rFonts w:ascii="Arial" w:hAnsi="Arial" w:cs="Arial"/>
        </w:rPr>
        <w:object w:dxaOrig="9844" w:dyaOrig="3758" w14:anchorId="3EF66E50">
          <v:shape id="_x0000_i1054" type="#_x0000_t75" style="width:460.8pt;height:194.4pt" o:ole="" o:preferrelative="f">
            <v:imagedata r:id="rId86" o:title=""/>
            <o:lock v:ext="edit" aspectratio="f"/>
          </v:shape>
          <o:OLEObject Type="Embed" ProgID="Excel.Sheet.8" ShapeID="_x0000_i1054" DrawAspect="Content" ObjectID="_1551591555" r:id="rId87"/>
        </w:object>
      </w:r>
    </w:p>
    <w:p w14:paraId="2A9285ED" w14:textId="7C335ADB" w:rsidR="00272023" w:rsidRPr="0088338F" w:rsidRDefault="00724EC7" w:rsidP="00272023">
      <w:pPr>
        <w:jc w:val="both"/>
        <w:rPr>
          <w:rFonts w:ascii="Arial" w:hAnsi="Arial" w:cs="Arial"/>
          <w:sz w:val="20"/>
          <w:szCs w:val="20"/>
        </w:rPr>
      </w:pPr>
      <w:r w:rsidRPr="0088338F">
        <w:rPr>
          <w:rFonts w:ascii="Arial" w:hAnsi="Arial" w:cs="Arial"/>
          <w:sz w:val="20"/>
          <w:szCs w:val="20"/>
        </w:rPr>
        <w:t>Forma emitovaných dlhopisov je na doručiteľa a všetky dlhopisy boli vydané ako zaknihované cenné papiere. Dlhopisy boli vydávané na základe verejnej ponuky. Dlhopisy neboli prijaté na trh kótovaných cenných papierov ani na žiadny iný trh burzy cenných papierov.</w:t>
      </w:r>
    </w:p>
    <w:p w14:paraId="5228ABA4" w14:textId="77777777" w:rsidR="004A735A" w:rsidRPr="0088338F" w:rsidRDefault="004A735A" w:rsidP="00272023">
      <w:pPr>
        <w:jc w:val="both"/>
        <w:rPr>
          <w:rFonts w:ascii="Arial" w:hAnsi="Arial" w:cs="Arial"/>
          <w:sz w:val="20"/>
          <w:szCs w:val="20"/>
        </w:rPr>
      </w:pPr>
    </w:p>
    <w:p w14:paraId="006E2EFF" w14:textId="77777777" w:rsidR="00B412D1" w:rsidRPr="0088338F" w:rsidRDefault="00B412D1" w:rsidP="00B412D1">
      <w:pPr>
        <w:jc w:val="both"/>
        <w:rPr>
          <w:rFonts w:ascii="Arial" w:hAnsi="Arial" w:cs="Arial"/>
          <w:sz w:val="20"/>
          <w:szCs w:val="20"/>
        </w:rPr>
      </w:pPr>
      <w:r w:rsidRPr="0088338F">
        <w:rPr>
          <w:rFonts w:ascii="Arial" w:hAnsi="Arial" w:cs="Arial"/>
          <w:sz w:val="20"/>
          <w:szCs w:val="20"/>
        </w:rPr>
        <w:t xml:space="preserve">Banka 31. januára 2016 splatila menovitú hodnotu 4 000 ks dlhopisov Privatbanka 15 (ISIN: </w:t>
      </w:r>
      <w:r w:rsidRPr="0088338F">
        <w:rPr>
          <w:rFonts w:ascii="Arial" w:hAnsi="Arial" w:cs="Arial"/>
          <w:bCs/>
          <w:sz w:val="20"/>
          <w:szCs w:val="20"/>
        </w:rPr>
        <w:t>SK4120008962</w:t>
      </w:r>
      <w:r w:rsidRPr="0088338F">
        <w:rPr>
          <w:rFonts w:ascii="Arial" w:hAnsi="Arial" w:cs="Arial"/>
          <w:sz w:val="20"/>
          <w:szCs w:val="20"/>
        </w:rPr>
        <w:t>) v objeme 4 000 tis. EUR.</w:t>
      </w:r>
    </w:p>
    <w:p w14:paraId="1E0DAEBA" w14:textId="77777777" w:rsidR="00B412D1" w:rsidRPr="0088338F" w:rsidRDefault="00B412D1" w:rsidP="00B412D1">
      <w:pPr>
        <w:jc w:val="both"/>
        <w:rPr>
          <w:rFonts w:ascii="Arial" w:hAnsi="Arial" w:cs="Arial"/>
          <w:sz w:val="20"/>
          <w:szCs w:val="20"/>
        </w:rPr>
      </w:pPr>
    </w:p>
    <w:p w14:paraId="0DF4D0FE" w14:textId="77777777" w:rsidR="00B412D1" w:rsidRPr="0088338F" w:rsidRDefault="00B412D1" w:rsidP="00B412D1">
      <w:pPr>
        <w:jc w:val="both"/>
        <w:rPr>
          <w:rFonts w:ascii="Arial" w:hAnsi="Arial" w:cs="Arial"/>
          <w:sz w:val="20"/>
          <w:szCs w:val="20"/>
        </w:rPr>
      </w:pPr>
      <w:r w:rsidRPr="0088338F">
        <w:rPr>
          <w:rFonts w:ascii="Arial" w:hAnsi="Arial" w:cs="Arial"/>
          <w:sz w:val="20"/>
          <w:szCs w:val="20"/>
        </w:rPr>
        <w:t xml:space="preserve">Banka 30. marca 2016 splatila menovitú hodnotu 3 000 ks dlhopisov Privatbanka 13 (ISIN: </w:t>
      </w:r>
      <w:r w:rsidRPr="0088338F">
        <w:rPr>
          <w:rFonts w:ascii="Arial" w:hAnsi="Arial" w:cs="Arial"/>
          <w:bCs/>
          <w:sz w:val="20"/>
          <w:szCs w:val="20"/>
        </w:rPr>
        <w:t>SK4120008376</w:t>
      </w:r>
      <w:r w:rsidRPr="0088338F">
        <w:rPr>
          <w:rFonts w:ascii="Arial" w:hAnsi="Arial" w:cs="Arial"/>
          <w:sz w:val="20"/>
          <w:szCs w:val="20"/>
        </w:rPr>
        <w:t>) v objeme 3 000 tis. EUR.</w:t>
      </w:r>
    </w:p>
    <w:p w14:paraId="01562AC0" w14:textId="77777777" w:rsidR="006470D5" w:rsidRPr="0088338F" w:rsidRDefault="006470D5" w:rsidP="00272023">
      <w:pPr>
        <w:jc w:val="both"/>
        <w:rPr>
          <w:rFonts w:ascii="Arial" w:hAnsi="Arial" w:cs="Arial"/>
          <w:sz w:val="20"/>
          <w:szCs w:val="20"/>
        </w:rPr>
      </w:pPr>
    </w:p>
    <w:p w14:paraId="444B8C45" w14:textId="111C2F7B" w:rsidR="00272023" w:rsidRPr="0088338F" w:rsidRDefault="00272023" w:rsidP="00272023">
      <w:pPr>
        <w:jc w:val="both"/>
        <w:rPr>
          <w:rFonts w:ascii="Arial" w:hAnsi="Arial" w:cs="Arial"/>
          <w:sz w:val="20"/>
          <w:szCs w:val="20"/>
        </w:rPr>
      </w:pPr>
      <w:r w:rsidRPr="0088338F">
        <w:rPr>
          <w:rFonts w:ascii="Arial" w:hAnsi="Arial" w:cs="Arial"/>
          <w:sz w:val="20"/>
          <w:szCs w:val="20"/>
        </w:rPr>
        <w:t xml:space="preserve">Dlhopisy sú voľne prevoditeľné, nie </w:t>
      </w:r>
      <w:r w:rsidR="009D1DF5" w:rsidRPr="0088338F">
        <w:rPr>
          <w:rFonts w:ascii="Arial" w:hAnsi="Arial" w:cs="Arial"/>
          <w:sz w:val="20"/>
          <w:szCs w:val="20"/>
        </w:rPr>
        <w:t>sú</w:t>
      </w:r>
      <w:r w:rsidRPr="0088338F">
        <w:rPr>
          <w:rFonts w:ascii="Arial" w:hAnsi="Arial" w:cs="Arial"/>
          <w:sz w:val="20"/>
          <w:szCs w:val="20"/>
        </w:rPr>
        <w:t xml:space="preserve"> s nimi spojené žiadne predkupné práv</w:t>
      </w:r>
      <w:r w:rsidR="009846F8" w:rsidRPr="0088338F">
        <w:rPr>
          <w:rFonts w:ascii="Arial" w:hAnsi="Arial" w:cs="Arial"/>
          <w:sz w:val="20"/>
          <w:szCs w:val="20"/>
        </w:rPr>
        <w:t>a</w:t>
      </w:r>
      <w:r w:rsidRPr="0088338F">
        <w:rPr>
          <w:rFonts w:ascii="Arial" w:hAnsi="Arial" w:cs="Arial"/>
          <w:sz w:val="20"/>
          <w:szCs w:val="20"/>
        </w:rPr>
        <w:t>. Právo na výplatu menovitej hodnoty a výnosov sa riadi všeobecne záväznými právnymi predpismi a</w:t>
      </w:r>
      <w:r w:rsidR="00E97881" w:rsidRPr="0088338F">
        <w:rPr>
          <w:rFonts w:ascii="Arial" w:hAnsi="Arial" w:cs="Arial"/>
          <w:sz w:val="20"/>
          <w:szCs w:val="20"/>
        </w:rPr>
        <w:t> </w:t>
      </w:r>
      <w:r w:rsidRPr="0088338F">
        <w:rPr>
          <w:rFonts w:ascii="Arial" w:hAnsi="Arial" w:cs="Arial"/>
          <w:sz w:val="20"/>
          <w:szCs w:val="20"/>
        </w:rPr>
        <w:t>emisnými</w:t>
      </w:r>
      <w:r w:rsidR="00E97881" w:rsidRPr="0088338F">
        <w:rPr>
          <w:rFonts w:ascii="Arial" w:hAnsi="Arial" w:cs="Arial"/>
          <w:sz w:val="20"/>
          <w:szCs w:val="20"/>
        </w:rPr>
        <w:t xml:space="preserve"> </w:t>
      </w:r>
      <w:r w:rsidRPr="0088338F">
        <w:rPr>
          <w:rFonts w:ascii="Arial" w:hAnsi="Arial" w:cs="Arial"/>
          <w:sz w:val="20"/>
          <w:szCs w:val="20"/>
        </w:rPr>
        <w:t xml:space="preserve">podmienkami dlhopisov, ktorých plné znenie sa zverejňuje v súlade so zákonom o dlhopisoch č. 530/1990 </w:t>
      </w:r>
      <w:r w:rsidR="00335C12" w:rsidRPr="0088338F">
        <w:rPr>
          <w:rFonts w:ascii="Arial" w:hAnsi="Arial" w:cs="Arial"/>
          <w:sz w:val="20"/>
          <w:szCs w:val="20"/>
        </w:rPr>
        <w:t>Zb.</w:t>
      </w:r>
      <w:r w:rsidRPr="0088338F">
        <w:rPr>
          <w:rFonts w:ascii="Arial" w:hAnsi="Arial" w:cs="Arial"/>
          <w:sz w:val="20"/>
          <w:szCs w:val="20"/>
        </w:rPr>
        <w:t xml:space="preserve"> v znení neskorších predpisov.</w:t>
      </w:r>
    </w:p>
    <w:p w14:paraId="21511334" w14:textId="77777777" w:rsidR="00244B04" w:rsidRPr="0088338F" w:rsidRDefault="00244B04" w:rsidP="00272023">
      <w:pPr>
        <w:jc w:val="both"/>
        <w:rPr>
          <w:rFonts w:ascii="Arial" w:hAnsi="Arial" w:cs="Arial"/>
          <w:sz w:val="20"/>
          <w:szCs w:val="20"/>
        </w:rPr>
      </w:pPr>
    </w:p>
    <w:p w14:paraId="1E1F1044" w14:textId="77777777" w:rsidR="006470D5" w:rsidRPr="0088338F" w:rsidRDefault="006470D5">
      <w:pPr>
        <w:rPr>
          <w:rFonts w:ascii="Arial" w:hAnsi="Arial" w:cs="Arial"/>
          <w:b/>
          <w:bCs/>
          <w:sz w:val="20"/>
          <w:szCs w:val="20"/>
        </w:rPr>
      </w:pPr>
      <w:r w:rsidRPr="0088338F">
        <w:rPr>
          <w:rFonts w:ascii="Arial" w:hAnsi="Arial" w:cs="Arial"/>
          <w:b/>
          <w:bCs/>
          <w:sz w:val="20"/>
          <w:szCs w:val="20"/>
        </w:rPr>
        <w:br w:type="page"/>
      </w:r>
    </w:p>
    <w:p w14:paraId="3E5A6717" w14:textId="61B2A98A" w:rsidR="00913CFA" w:rsidRPr="0088338F" w:rsidRDefault="00913CFA" w:rsidP="002B3BCE">
      <w:pPr>
        <w:numPr>
          <w:ilvl w:val="0"/>
          <w:numId w:val="7"/>
        </w:numPr>
        <w:tabs>
          <w:tab w:val="clear" w:pos="930"/>
          <w:tab w:val="left" w:pos="567"/>
        </w:tabs>
        <w:ind w:left="567" w:hanging="567"/>
        <w:jc w:val="both"/>
        <w:rPr>
          <w:rFonts w:ascii="Arial" w:hAnsi="Arial" w:cs="Arial"/>
          <w:b/>
          <w:bCs/>
          <w:sz w:val="20"/>
          <w:szCs w:val="20"/>
        </w:rPr>
      </w:pPr>
      <w:r w:rsidRPr="0088338F">
        <w:rPr>
          <w:rFonts w:ascii="Arial" w:hAnsi="Arial" w:cs="Arial"/>
          <w:b/>
          <w:bCs/>
          <w:sz w:val="20"/>
          <w:szCs w:val="20"/>
        </w:rPr>
        <w:lastRenderedPageBreak/>
        <w:t xml:space="preserve">Analýza záväzkov </w:t>
      </w:r>
      <w:r w:rsidR="00F40047" w:rsidRPr="0088338F">
        <w:rPr>
          <w:rFonts w:ascii="Arial" w:hAnsi="Arial" w:cs="Arial"/>
          <w:b/>
          <w:bCs/>
          <w:sz w:val="20"/>
          <w:szCs w:val="20"/>
        </w:rPr>
        <w:t>z</w:t>
      </w:r>
      <w:r w:rsidRPr="0088338F">
        <w:rPr>
          <w:rFonts w:ascii="Arial" w:hAnsi="Arial" w:cs="Arial"/>
          <w:b/>
          <w:bCs/>
          <w:sz w:val="20"/>
          <w:szCs w:val="20"/>
        </w:rPr>
        <w:t> dlhových cenných papierov podľa sektorového hľadiska veriteľov</w:t>
      </w:r>
    </w:p>
    <w:p w14:paraId="2D31B5D9" w14:textId="77777777" w:rsidR="00913CFA" w:rsidRPr="0088338F" w:rsidRDefault="00913CFA" w:rsidP="003C18A9">
      <w:pPr>
        <w:jc w:val="both"/>
        <w:rPr>
          <w:rFonts w:ascii="Arial" w:hAnsi="Arial" w:cs="Arial"/>
          <w:sz w:val="20"/>
          <w:szCs w:val="20"/>
        </w:rPr>
      </w:pPr>
    </w:p>
    <w:bookmarkStart w:id="980" w:name="_MON_1232172795"/>
    <w:bookmarkStart w:id="981" w:name="_MON_1249395297"/>
    <w:bookmarkStart w:id="982" w:name="_MON_1264160270"/>
    <w:bookmarkStart w:id="983" w:name="_MON_1264160443"/>
    <w:bookmarkStart w:id="984" w:name="_MON_1288368531"/>
    <w:bookmarkStart w:id="985" w:name="_MON_1296807195"/>
    <w:bookmarkStart w:id="986" w:name="_MON_1296980523"/>
    <w:bookmarkStart w:id="987" w:name="_MON_1322814569"/>
    <w:bookmarkStart w:id="988" w:name="_MON_1322814660"/>
    <w:bookmarkStart w:id="989" w:name="_MON_1322814723"/>
    <w:bookmarkStart w:id="990" w:name="_MON_1328454120"/>
    <w:bookmarkStart w:id="991" w:name="_MON_1355236495"/>
    <w:bookmarkStart w:id="992" w:name="_MON_1359474337"/>
    <w:bookmarkStart w:id="993" w:name="_MON_1389886338"/>
    <w:bookmarkStart w:id="994" w:name="_MON_1390652729"/>
    <w:bookmarkStart w:id="995" w:name="_MON_1391948559"/>
    <w:bookmarkStart w:id="996" w:name="_MON_1422086778"/>
    <w:bookmarkStart w:id="997" w:name="_MON_1422776023"/>
    <w:bookmarkStart w:id="998" w:name="_MON_1453637214"/>
    <w:bookmarkStart w:id="999" w:name="_MON_1454310379"/>
    <w:bookmarkStart w:id="1000" w:name="_MON_1216386640"/>
    <w:bookmarkStart w:id="1001" w:name="_MON_1217334015"/>
    <w:bookmarkStart w:id="1002" w:name="_MON_1217334532"/>
    <w:bookmarkStart w:id="1003" w:name="_MON_1217410828"/>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Start w:id="1004" w:name="_MON_1232171512"/>
    <w:bookmarkEnd w:id="1004"/>
    <w:p w14:paraId="671A0D29" w14:textId="66D650F5" w:rsidR="00130464" w:rsidRPr="0088338F" w:rsidRDefault="003E3F0F" w:rsidP="003C18A9">
      <w:pPr>
        <w:jc w:val="both"/>
        <w:rPr>
          <w:rFonts w:ascii="Arial" w:hAnsi="Arial" w:cs="Arial"/>
          <w:sz w:val="20"/>
          <w:szCs w:val="20"/>
        </w:rPr>
      </w:pPr>
      <w:r w:rsidRPr="0088338F">
        <w:rPr>
          <w:rFonts w:ascii="Arial" w:hAnsi="Arial" w:cs="Arial"/>
        </w:rPr>
        <w:object w:dxaOrig="9669" w:dyaOrig="3015" w14:anchorId="08D494A1">
          <v:shape id="_x0000_i1055" type="#_x0000_t75" style="width:450.6pt;height:155.4pt" o:ole="" o:preferrelative="f">
            <v:imagedata r:id="rId88" o:title=""/>
            <o:lock v:ext="edit" aspectratio="f"/>
          </v:shape>
          <o:OLEObject Type="Embed" ProgID="Excel.Sheet.8" ShapeID="_x0000_i1055" DrawAspect="Content" ObjectID="_1551591556" r:id="rId89"/>
        </w:object>
      </w:r>
    </w:p>
    <w:p w14:paraId="6D77DB19" w14:textId="77777777" w:rsidR="00483FEB" w:rsidRPr="0088338F" w:rsidRDefault="00483FEB" w:rsidP="003C18A9">
      <w:pPr>
        <w:jc w:val="both"/>
        <w:rPr>
          <w:rFonts w:ascii="Arial" w:hAnsi="Arial" w:cs="Arial"/>
          <w:sz w:val="20"/>
          <w:szCs w:val="20"/>
        </w:rPr>
      </w:pPr>
    </w:p>
    <w:p w14:paraId="2A1D3BEE" w14:textId="77777777" w:rsidR="00E8230C" w:rsidRPr="0088338F" w:rsidRDefault="00E8230C" w:rsidP="00E8230C">
      <w:pPr>
        <w:jc w:val="both"/>
        <w:rPr>
          <w:rFonts w:ascii="Arial" w:hAnsi="Arial" w:cs="Arial"/>
          <w:sz w:val="20"/>
          <w:szCs w:val="20"/>
        </w:rPr>
      </w:pPr>
    </w:p>
    <w:p w14:paraId="3E90D807" w14:textId="77777777" w:rsidR="00E8230C" w:rsidRPr="0088338F" w:rsidRDefault="00E8230C" w:rsidP="00E8230C">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odložený daňový záväzok</w:t>
      </w:r>
    </w:p>
    <w:p w14:paraId="55BC51B8" w14:textId="77777777" w:rsidR="00E8230C" w:rsidRPr="0088338F" w:rsidRDefault="00E8230C" w:rsidP="00E8230C">
      <w:pPr>
        <w:jc w:val="both"/>
        <w:rPr>
          <w:rFonts w:ascii="Arial" w:hAnsi="Arial" w:cs="Arial"/>
          <w:sz w:val="20"/>
          <w:szCs w:val="20"/>
        </w:rPr>
      </w:pPr>
    </w:p>
    <w:p w14:paraId="3497DD21" w14:textId="77777777" w:rsidR="00E8230C" w:rsidRPr="0088338F" w:rsidRDefault="00E8230C" w:rsidP="00E8230C">
      <w:pPr>
        <w:jc w:val="both"/>
        <w:rPr>
          <w:rFonts w:ascii="Arial" w:hAnsi="Arial" w:cs="Arial"/>
          <w:sz w:val="20"/>
          <w:szCs w:val="20"/>
        </w:rPr>
      </w:pPr>
      <w:r w:rsidRPr="0088338F">
        <w:rPr>
          <w:rFonts w:ascii="Arial" w:hAnsi="Arial" w:cs="Arial"/>
          <w:sz w:val="20"/>
          <w:szCs w:val="20"/>
        </w:rPr>
        <w:t>Odložené daňové pohľadávky a záväzky sú nasledovné:</w:t>
      </w:r>
    </w:p>
    <w:p w14:paraId="410B1A4C" w14:textId="77777777" w:rsidR="00E8230C" w:rsidRPr="0088338F" w:rsidRDefault="00E8230C" w:rsidP="00E8230C">
      <w:pPr>
        <w:jc w:val="both"/>
        <w:rPr>
          <w:rFonts w:ascii="Arial" w:hAnsi="Arial" w:cs="Arial"/>
          <w:sz w:val="20"/>
          <w:szCs w:val="20"/>
        </w:rPr>
      </w:pPr>
    </w:p>
    <w:bookmarkStart w:id="1005" w:name="_MON_1322775793"/>
    <w:bookmarkStart w:id="1006" w:name="_MON_1322775838"/>
    <w:bookmarkStart w:id="1007" w:name="_MON_1328361550"/>
    <w:bookmarkStart w:id="1008" w:name="_MON_1355234903"/>
    <w:bookmarkStart w:id="1009" w:name="_MON_1359356012"/>
    <w:bookmarkStart w:id="1010" w:name="_MON_1359356098"/>
    <w:bookmarkStart w:id="1011" w:name="_MON_1359356132"/>
    <w:bookmarkStart w:id="1012" w:name="_MON_1360498926"/>
    <w:bookmarkStart w:id="1013" w:name="_MON_1361370680"/>
    <w:bookmarkStart w:id="1014" w:name="_MON_1389885497"/>
    <w:bookmarkStart w:id="1015" w:name="_MON_1390561729"/>
    <w:bookmarkStart w:id="1016" w:name="_MON_1391946313"/>
    <w:bookmarkStart w:id="1017" w:name="_MON_1395040802"/>
    <w:bookmarkStart w:id="1018" w:name="_MON_1395734215"/>
    <w:bookmarkStart w:id="1019" w:name="_MON_1395734233"/>
    <w:bookmarkStart w:id="1020" w:name="_MON_1395734264"/>
    <w:bookmarkStart w:id="1021" w:name="_MON_1424761615"/>
    <w:bookmarkStart w:id="1022" w:name="_MON_1425191661"/>
    <w:bookmarkStart w:id="1023" w:name="_MON_1426851138"/>
    <w:bookmarkStart w:id="1024" w:name="_MON_1426851365"/>
    <w:bookmarkStart w:id="1025" w:name="_MON_1427621711"/>
    <w:bookmarkStart w:id="1026" w:name="_MON_1427621839"/>
    <w:bookmarkStart w:id="1027" w:name="_MON_1427621853"/>
    <w:bookmarkStart w:id="1028" w:name="_MON_1427621870"/>
    <w:bookmarkStart w:id="1029" w:name="_MON_1427621894"/>
    <w:bookmarkStart w:id="1030" w:name="_MON_1456741320"/>
    <w:bookmarkStart w:id="1031" w:name="_MON_1458646225"/>
    <w:bookmarkStart w:id="1032" w:name="_MON_1458646314"/>
    <w:bookmarkStart w:id="1033" w:name="_MON_1458646321"/>
    <w:bookmarkStart w:id="1034" w:name="_MON_1458646334"/>
    <w:bookmarkStart w:id="1035" w:name="_MON_1458646429"/>
    <w:bookmarkStart w:id="1036" w:name="_MON_1458646574"/>
    <w:bookmarkStart w:id="1037" w:name="_MON_1461477488"/>
    <w:bookmarkStart w:id="1038" w:name="_MON_1466427973"/>
    <w:bookmarkStart w:id="1039" w:name="_MON_1466428093"/>
    <w:bookmarkStart w:id="1040" w:name="_MON_1466428217"/>
    <w:bookmarkStart w:id="1041" w:name="_MON_1216374487"/>
    <w:bookmarkStart w:id="1042" w:name="_MON_1216374691"/>
    <w:bookmarkStart w:id="1043" w:name="_MON_1216374784"/>
    <w:bookmarkStart w:id="1044" w:name="_MON_1216374809"/>
    <w:bookmarkStart w:id="1045" w:name="_MON_1216374845"/>
    <w:bookmarkStart w:id="1046" w:name="_MON_1216381198"/>
    <w:bookmarkStart w:id="1047" w:name="_MON_1216381237"/>
    <w:bookmarkStart w:id="1048" w:name="_MON_1216381295"/>
    <w:bookmarkStart w:id="1049" w:name="_MON_1216381376"/>
    <w:bookmarkStart w:id="1050" w:name="_MON_1216381592"/>
    <w:bookmarkStart w:id="1051" w:name="_MON_1216381601"/>
    <w:bookmarkStart w:id="1052" w:name="_MON_1216382308"/>
    <w:bookmarkStart w:id="1053" w:name="_MON_1217330877"/>
    <w:bookmarkStart w:id="1054" w:name="_MON_1217331035"/>
    <w:bookmarkStart w:id="1055" w:name="_MON_1217331112"/>
    <w:bookmarkStart w:id="1056" w:name="_MON_1217331129"/>
    <w:bookmarkStart w:id="1057" w:name="_MON_1217505308"/>
    <w:bookmarkStart w:id="1058" w:name="_MON_1217505321"/>
    <w:bookmarkStart w:id="1059" w:name="_MON_1232206948"/>
    <w:bookmarkStart w:id="1060" w:name="_MON_1249394994"/>
    <w:bookmarkStart w:id="1061" w:name="_MON_1264270035"/>
    <w:bookmarkStart w:id="1062" w:name="_MON_1265087567"/>
    <w:bookmarkStart w:id="1063" w:name="_MON_1265087583"/>
    <w:bookmarkStart w:id="1064" w:name="_MON_1265723204"/>
    <w:bookmarkStart w:id="1065" w:name="_MON_1288368004"/>
    <w:bookmarkStart w:id="1066" w:name="_MON_1297076470"/>
    <w:bookmarkStart w:id="1067" w:name="_MON_1297186158"/>
    <w:bookmarkStart w:id="1068" w:name="_MON_1297500492"/>
    <w:bookmarkStart w:id="1069" w:name="_MON_1322775620"/>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Start w:id="1070" w:name="_MON_1322775758"/>
    <w:bookmarkEnd w:id="1070"/>
    <w:p w14:paraId="61FCB13F" w14:textId="6E9D0F48" w:rsidR="00E8230C" w:rsidRPr="0088338F" w:rsidRDefault="00484FE4" w:rsidP="00E8230C">
      <w:pPr>
        <w:jc w:val="both"/>
        <w:rPr>
          <w:rFonts w:ascii="Arial" w:hAnsi="Arial" w:cs="Arial"/>
          <w:sz w:val="20"/>
        </w:rPr>
      </w:pPr>
      <w:r w:rsidRPr="0088338F">
        <w:rPr>
          <w:rFonts w:ascii="Arial" w:hAnsi="Arial" w:cs="Arial"/>
        </w:rPr>
        <w:object w:dxaOrig="10582" w:dyaOrig="2521" w14:anchorId="4E3EF3F8">
          <v:shape id="_x0000_i1056" type="#_x0000_t75" style="width:451.2pt;height:123pt" o:ole="" o:preferrelative="f">
            <v:imagedata r:id="rId90" o:title=""/>
            <o:lock v:ext="edit" aspectratio="f"/>
          </v:shape>
          <o:OLEObject Type="Embed" ProgID="Excel.Sheet.8" ShapeID="_x0000_i1056" DrawAspect="Content" ObjectID="_1551591557" r:id="rId91"/>
        </w:object>
      </w:r>
    </w:p>
    <w:p w14:paraId="36289D59" w14:textId="77777777" w:rsidR="00F44B4B" w:rsidRPr="0088338F" w:rsidRDefault="00F44B4B" w:rsidP="00E8230C">
      <w:pPr>
        <w:tabs>
          <w:tab w:val="decimal" w:pos="5220"/>
          <w:tab w:val="right" w:pos="6480"/>
          <w:tab w:val="decimal" w:pos="6660"/>
          <w:tab w:val="right" w:pos="7920"/>
        </w:tabs>
        <w:jc w:val="both"/>
        <w:rPr>
          <w:rFonts w:ascii="Arial" w:hAnsi="Arial" w:cs="Arial"/>
          <w:sz w:val="20"/>
        </w:rPr>
      </w:pPr>
    </w:p>
    <w:p w14:paraId="4F29228B" w14:textId="151AD28E" w:rsidR="00E8230C" w:rsidRPr="0088338F" w:rsidRDefault="00E8230C" w:rsidP="00E8230C">
      <w:pPr>
        <w:tabs>
          <w:tab w:val="decimal" w:pos="5220"/>
          <w:tab w:val="right" w:pos="6480"/>
          <w:tab w:val="decimal" w:pos="6660"/>
          <w:tab w:val="right" w:pos="7920"/>
        </w:tabs>
        <w:jc w:val="both"/>
        <w:rPr>
          <w:rFonts w:ascii="Arial" w:hAnsi="Arial" w:cs="Arial"/>
          <w:sz w:val="20"/>
        </w:rPr>
      </w:pPr>
      <w:r w:rsidRPr="0088338F">
        <w:rPr>
          <w:rFonts w:ascii="Arial" w:hAnsi="Arial" w:cs="Arial"/>
          <w:sz w:val="20"/>
        </w:rPr>
        <w:t xml:space="preserve">Odložené daňové pohľadávky a záväzky boli počítané pri dani z príjmov právnických osôb </w:t>
      </w:r>
      <w:r w:rsidR="001902A0" w:rsidRPr="0088338F">
        <w:rPr>
          <w:rFonts w:ascii="Arial" w:hAnsi="Arial" w:cs="Arial"/>
          <w:sz w:val="20"/>
        </w:rPr>
        <w:t>21</w:t>
      </w:r>
      <w:r w:rsidRPr="0088338F">
        <w:rPr>
          <w:rFonts w:ascii="Arial" w:hAnsi="Arial" w:cs="Arial"/>
          <w:sz w:val="20"/>
        </w:rPr>
        <w:t xml:space="preserve"> %</w:t>
      </w:r>
      <w:r w:rsidRPr="0088338F">
        <w:rPr>
          <w:rFonts w:ascii="Arial" w:hAnsi="Arial" w:cs="Arial"/>
          <w:sz w:val="20"/>
        </w:rPr>
        <w:br/>
        <w:t>(201</w:t>
      </w:r>
      <w:r w:rsidR="00BC426B" w:rsidRPr="0088338F">
        <w:rPr>
          <w:rFonts w:ascii="Arial" w:hAnsi="Arial" w:cs="Arial"/>
          <w:sz w:val="20"/>
        </w:rPr>
        <w:t>5</w:t>
      </w:r>
      <w:r w:rsidRPr="0088338F">
        <w:rPr>
          <w:rFonts w:ascii="Arial" w:hAnsi="Arial" w:cs="Arial"/>
          <w:sz w:val="20"/>
        </w:rPr>
        <w:t xml:space="preserve">: </w:t>
      </w:r>
      <w:r w:rsidR="0094290E" w:rsidRPr="0088338F">
        <w:rPr>
          <w:rFonts w:ascii="Arial" w:hAnsi="Arial" w:cs="Arial"/>
          <w:sz w:val="20"/>
        </w:rPr>
        <w:t>2</w:t>
      </w:r>
      <w:r w:rsidR="00483FEB" w:rsidRPr="0088338F">
        <w:rPr>
          <w:rFonts w:ascii="Arial" w:hAnsi="Arial" w:cs="Arial"/>
          <w:sz w:val="20"/>
        </w:rPr>
        <w:t>2</w:t>
      </w:r>
      <w:r w:rsidRPr="0088338F">
        <w:rPr>
          <w:rFonts w:ascii="Arial" w:hAnsi="Arial" w:cs="Arial"/>
          <w:sz w:val="20"/>
        </w:rPr>
        <w:t xml:space="preserve"> %).</w:t>
      </w:r>
    </w:p>
    <w:p w14:paraId="611C1017" w14:textId="77777777" w:rsidR="006470D5" w:rsidRPr="0088338F" w:rsidRDefault="006470D5" w:rsidP="00E8230C">
      <w:pPr>
        <w:pStyle w:val="BodyTextIndent"/>
        <w:ind w:left="0"/>
        <w:rPr>
          <w:rFonts w:ascii="Arial" w:hAnsi="Arial" w:cs="Arial"/>
        </w:rPr>
      </w:pPr>
    </w:p>
    <w:p w14:paraId="781F05B6" w14:textId="28BFCCAF" w:rsidR="00E8230C" w:rsidRPr="0088338F" w:rsidRDefault="00E8230C" w:rsidP="00E8230C">
      <w:pPr>
        <w:pStyle w:val="BodyTextIndent"/>
        <w:ind w:left="0"/>
        <w:rPr>
          <w:rFonts w:ascii="Arial" w:hAnsi="Arial" w:cs="Arial"/>
        </w:rPr>
      </w:pPr>
      <w:r w:rsidRPr="0088338F">
        <w:rPr>
          <w:rFonts w:ascii="Arial" w:hAnsi="Arial" w:cs="Arial"/>
        </w:rPr>
        <w:t>Banka pri vykazovaní odložených daňových pohľadávok a záväzkov uplatňuje konzervatívny prístup. Všetky odložené daňové záväzky sa vykazujú v plnej výške, zatiaľ čo pri odložených daňových pohľadávkach sa vykazuje len ich časť, pri ktorej banka očakáva, že v budúcnosti bude môcť uplatniť úľavu na dani.</w:t>
      </w:r>
    </w:p>
    <w:p w14:paraId="592B0170" w14:textId="77777777" w:rsidR="00E8230C" w:rsidRPr="0088338F" w:rsidRDefault="00E8230C" w:rsidP="00E8230C">
      <w:pPr>
        <w:tabs>
          <w:tab w:val="decimal" w:pos="5220"/>
          <w:tab w:val="right" w:pos="6480"/>
          <w:tab w:val="decimal" w:pos="6660"/>
          <w:tab w:val="right" w:pos="7920"/>
        </w:tabs>
        <w:jc w:val="both"/>
        <w:rPr>
          <w:rFonts w:ascii="Arial" w:hAnsi="Arial" w:cs="Arial"/>
          <w:sz w:val="20"/>
        </w:rPr>
      </w:pPr>
    </w:p>
    <w:p w14:paraId="61E31C4C" w14:textId="5AAB590B" w:rsidR="00E8230C" w:rsidRPr="0088338F" w:rsidRDefault="00E8230C" w:rsidP="00E8230C">
      <w:pPr>
        <w:pStyle w:val="BodyTextIndent"/>
        <w:ind w:left="0"/>
        <w:rPr>
          <w:rFonts w:ascii="Arial" w:hAnsi="Arial" w:cs="Arial"/>
        </w:rPr>
      </w:pPr>
      <w:r w:rsidRPr="0088338F">
        <w:rPr>
          <w:rFonts w:ascii="Arial" w:hAnsi="Arial" w:cs="Arial"/>
        </w:rPr>
        <w:t>Banka neočakáva, že v budúcnosti bude môcť realizovať prínosy z opravných položiek, ktoré nie sú daňovo uznateľné. Preto k 31. decembru 201</w:t>
      </w:r>
      <w:r w:rsidR="00BC426B" w:rsidRPr="0088338F">
        <w:rPr>
          <w:rFonts w:ascii="Arial" w:hAnsi="Arial" w:cs="Arial"/>
        </w:rPr>
        <w:t>6</w:t>
      </w:r>
      <w:r w:rsidRPr="0088338F">
        <w:rPr>
          <w:rFonts w:ascii="Arial" w:hAnsi="Arial" w:cs="Arial"/>
        </w:rPr>
        <w:t xml:space="preserve"> nevykázala odloženú pohľadávku z dane z príjmov  vo výške </w:t>
      </w:r>
      <w:r w:rsidR="00570A3E" w:rsidRPr="0088338F">
        <w:rPr>
          <w:rFonts w:ascii="Arial" w:hAnsi="Arial" w:cs="Arial"/>
        </w:rPr>
        <w:t>3</w:t>
      </w:r>
      <w:r w:rsidR="00374DF7" w:rsidRPr="0088338F">
        <w:rPr>
          <w:rFonts w:ascii="Arial" w:hAnsi="Arial" w:cs="Arial"/>
        </w:rPr>
        <w:t xml:space="preserve"> </w:t>
      </w:r>
      <w:r w:rsidR="00125CDB" w:rsidRPr="0088338F">
        <w:rPr>
          <w:rFonts w:ascii="Arial" w:hAnsi="Arial" w:cs="Arial"/>
        </w:rPr>
        <w:t>009</w:t>
      </w:r>
      <w:r w:rsidRPr="0088338F">
        <w:rPr>
          <w:rFonts w:ascii="Arial" w:hAnsi="Arial" w:cs="Arial"/>
        </w:rPr>
        <w:t xml:space="preserve"> tis. EUR, ktorá vznikla z daňovo neuznateľných opravných položiek (201</w:t>
      </w:r>
      <w:r w:rsidR="009B025D" w:rsidRPr="0088338F">
        <w:rPr>
          <w:rFonts w:ascii="Arial" w:hAnsi="Arial" w:cs="Arial"/>
        </w:rPr>
        <w:t>5</w:t>
      </w:r>
      <w:r w:rsidRPr="0088338F">
        <w:rPr>
          <w:rFonts w:ascii="Arial" w:hAnsi="Arial" w:cs="Arial"/>
        </w:rPr>
        <w:t xml:space="preserve">: </w:t>
      </w:r>
      <w:r w:rsidR="00BC426B" w:rsidRPr="0088338F">
        <w:rPr>
          <w:rFonts w:ascii="Arial" w:hAnsi="Arial" w:cs="Arial"/>
        </w:rPr>
        <w:t>3</w:t>
      </w:r>
      <w:r w:rsidRPr="0088338F">
        <w:rPr>
          <w:rFonts w:ascii="Arial" w:hAnsi="Arial" w:cs="Arial"/>
        </w:rPr>
        <w:t xml:space="preserve"> </w:t>
      </w:r>
      <w:r w:rsidR="00BC426B" w:rsidRPr="0088338F">
        <w:rPr>
          <w:rFonts w:ascii="Arial" w:hAnsi="Arial" w:cs="Arial"/>
        </w:rPr>
        <w:t>317</w:t>
      </w:r>
      <w:r w:rsidRPr="0088338F">
        <w:rPr>
          <w:rFonts w:ascii="Arial" w:hAnsi="Arial" w:cs="Arial"/>
        </w:rPr>
        <w:t xml:space="preserve"> tis. EUR).</w:t>
      </w:r>
    </w:p>
    <w:p w14:paraId="60C17E0D" w14:textId="77777777" w:rsidR="00E8230C" w:rsidRPr="0088338F" w:rsidRDefault="00E8230C" w:rsidP="00E8230C">
      <w:pPr>
        <w:tabs>
          <w:tab w:val="decimal" w:pos="5220"/>
          <w:tab w:val="right" w:pos="6480"/>
          <w:tab w:val="decimal" w:pos="6660"/>
          <w:tab w:val="right" w:pos="7920"/>
        </w:tabs>
        <w:jc w:val="both"/>
        <w:rPr>
          <w:rFonts w:ascii="Arial" w:hAnsi="Arial" w:cs="Arial"/>
          <w:sz w:val="20"/>
        </w:rPr>
      </w:pPr>
    </w:p>
    <w:p w14:paraId="7A0DAEE2" w14:textId="195C625B" w:rsidR="00E8230C" w:rsidRPr="0088338F" w:rsidRDefault="00E8230C" w:rsidP="00E8230C">
      <w:pPr>
        <w:tabs>
          <w:tab w:val="decimal" w:pos="5220"/>
          <w:tab w:val="right" w:pos="6480"/>
          <w:tab w:val="decimal" w:pos="6660"/>
          <w:tab w:val="right" w:pos="7920"/>
        </w:tabs>
        <w:jc w:val="both"/>
        <w:rPr>
          <w:rFonts w:ascii="Arial" w:hAnsi="Arial" w:cs="Arial"/>
          <w:sz w:val="20"/>
        </w:rPr>
      </w:pPr>
      <w:r w:rsidRPr="0088338F">
        <w:rPr>
          <w:rFonts w:ascii="Arial" w:hAnsi="Arial" w:cs="Arial"/>
          <w:sz w:val="20"/>
        </w:rPr>
        <w:t>Banka k 31. decembru 201</w:t>
      </w:r>
      <w:r w:rsidR="00BC426B" w:rsidRPr="0088338F">
        <w:rPr>
          <w:rFonts w:ascii="Arial" w:hAnsi="Arial" w:cs="Arial"/>
          <w:sz w:val="20"/>
        </w:rPr>
        <w:t>6</w:t>
      </w:r>
      <w:r w:rsidRPr="0088338F">
        <w:rPr>
          <w:rFonts w:ascii="Arial" w:hAnsi="Arial" w:cs="Arial"/>
          <w:sz w:val="20"/>
        </w:rPr>
        <w:t xml:space="preserve"> nevykazuje odloženú daňovú pohľadávku vzťahujúcu sa na rezervy na prémie zamestnancom a manažmentu banky vo výške </w:t>
      </w:r>
      <w:r w:rsidR="00570A3E" w:rsidRPr="0088338F">
        <w:rPr>
          <w:rFonts w:ascii="Arial" w:hAnsi="Arial" w:cs="Arial"/>
          <w:sz w:val="20"/>
        </w:rPr>
        <w:t>2</w:t>
      </w:r>
      <w:r w:rsidR="00125CDB" w:rsidRPr="0088338F">
        <w:rPr>
          <w:rFonts w:ascii="Arial" w:hAnsi="Arial" w:cs="Arial"/>
          <w:sz w:val="20"/>
        </w:rPr>
        <w:t>0</w:t>
      </w:r>
      <w:r w:rsidR="00570A3E" w:rsidRPr="0088338F">
        <w:rPr>
          <w:rFonts w:ascii="Arial" w:hAnsi="Arial" w:cs="Arial"/>
          <w:sz w:val="20"/>
        </w:rPr>
        <w:t>8</w:t>
      </w:r>
      <w:r w:rsidR="00496CEF" w:rsidRPr="0088338F">
        <w:rPr>
          <w:rFonts w:ascii="Arial" w:hAnsi="Arial" w:cs="Arial"/>
          <w:sz w:val="20"/>
        </w:rPr>
        <w:t xml:space="preserve"> </w:t>
      </w:r>
      <w:r w:rsidRPr="0088338F">
        <w:rPr>
          <w:rFonts w:ascii="Arial" w:hAnsi="Arial" w:cs="Arial"/>
          <w:sz w:val="20"/>
        </w:rPr>
        <w:t>tis. EUR (201</w:t>
      </w:r>
      <w:r w:rsidR="00BC426B" w:rsidRPr="0088338F">
        <w:rPr>
          <w:rFonts w:ascii="Arial" w:hAnsi="Arial" w:cs="Arial"/>
          <w:sz w:val="20"/>
        </w:rPr>
        <w:t>5</w:t>
      </w:r>
      <w:r w:rsidRPr="0088338F">
        <w:rPr>
          <w:rFonts w:ascii="Arial" w:hAnsi="Arial" w:cs="Arial"/>
          <w:sz w:val="20"/>
        </w:rPr>
        <w:t xml:space="preserve">: </w:t>
      </w:r>
      <w:r w:rsidR="00BC426B" w:rsidRPr="0088338F">
        <w:rPr>
          <w:rFonts w:ascii="Arial" w:hAnsi="Arial" w:cs="Arial"/>
          <w:sz w:val="20"/>
        </w:rPr>
        <w:t>288</w:t>
      </w:r>
      <w:r w:rsidRPr="0088338F">
        <w:rPr>
          <w:rFonts w:ascii="Arial" w:hAnsi="Arial" w:cs="Arial"/>
          <w:sz w:val="20"/>
        </w:rPr>
        <w:t xml:space="preserve"> tis. EUR).</w:t>
      </w:r>
    </w:p>
    <w:p w14:paraId="79FAFF19" w14:textId="77777777" w:rsidR="00E8230C" w:rsidRPr="0088338F" w:rsidRDefault="00E8230C" w:rsidP="003C18A9">
      <w:pPr>
        <w:jc w:val="both"/>
        <w:rPr>
          <w:rFonts w:ascii="Arial" w:hAnsi="Arial" w:cs="Arial"/>
          <w:sz w:val="20"/>
          <w:szCs w:val="20"/>
        </w:rPr>
      </w:pPr>
    </w:p>
    <w:p w14:paraId="2D194A9C" w14:textId="77777777" w:rsidR="00E8230C" w:rsidRPr="0088338F" w:rsidRDefault="00E8230C" w:rsidP="003C18A9">
      <w:pPr>
        <w:jc w:val="both"/>
        <w:rPr>
          <w:rFonts w:ascii="Arial" w:hAnsi="Arial" w:cs="Arial"/>
          <w:sz w:val="20"/>
          <w:szCs w:val="20"/>
        </w:rPr>
      </w:pPr>
    </w:p>
    <w:p w14:paraId="471422CE" w14:textId="77777777" w:rsidR="006470D5" w:rsidRPr="0088338F" w:rsidRDefault="006470D5">
      <w:pPr>
        <w:rPr>
          <w:rFonts w:ascii="Arial" w:hAnsi="Arial" w:cs="Arial"/>
          <w:b/>
          <w:caps/>
          <w:sz w:val="20"/>
          <w:szCs w:val="20"/>
        </w:rPr>
      </w:pPr>
      <w:r w:rsidRPr="0088338F">
        <w:rPr>
          <w:rFonts w:ascii="Arial" w:hAnsi="Arial" w:cs="Arial"/>
          <w:b/>
          <w:caps/>
          <w:sz w:val="20"/>
          <w:szCs w:val="20"/>
        </w:rPr>
        <w:br w:type="page"/>
      </w:r>
    </w:p>
    <w:p w14:paraId="3E500522" w14:textId="0CA23D3E" w:rsidR="00B700FF" w:rsidRPr="0088338F" w:rsidRDefault="00B700FF"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lastRenderedPageBreak/>
        <w:t>Ostatné ZáVäzky</w:t>
      </w:r>
    </w:p>
    <w:p w14:paraId="1EE1C79D" w14:textId="77777777" w:rsidR="00B700FF" w:rsidRPr="0088338F" w:rsidRDefault="00B700FF" w:rsidP="00B700FF">
      <w:pPr>
        <w:jc w:val="both"/>
        <w:rPr>
          <w:rFonts w:ascii="Arial" w:hAnsi="Arial" w:cs="Arial"/>
          <w:sz w:val="20"/>
          <w:szCs w:val="20"/>
        </w:rPr>
      </w:pPr>
    </w:p>
    <w:bookmarkStart w:id="1071" w:name="_MON_1372072528"/>
    <w:bookmarkStart w:id="1072" w:name="_MON_1380097599"/>
    <w:bookmarkStart w:id="1073" w:name="_MON_1380097997"/>
    <w:bookmarkStart w:id="1074" w:name="_MON_1387456711"/>
    <w:bookmarkStart w:id="1075" w:name="_MON_1395042536"/>
    <w:bookmarkStart w:id="1076" w:name="_MON_1395042796"/>
    <w:bookmarkStart w:id="1077" w:name="_MON_1395736811"/>
    <w:bookmarkStart w:id="1078" w:name="_MON_1395736831"/>
    <w:bookmarkStart w:id="1079" w:name="_MON_1395736847"/>
    <w:bookmarkStart w:id="1080" w:name="_MON_1395736865"/>
    <w:bookmarkStart w:id="1081" w:name="_MON_1395736881"/>
    <w:bookmarkStart w:id="1082" w:name="_MON_1395736900"/>
    <w:bookmarkStart w:id="1083" w:name="_MON_1395736926"/>
    <w:bookmarkStart w:id="1084" w:name="_MON_1395736969"/>
    <w:bookmarkStart w:id="1085" w:name="_MON_1395740620"/>
    <w:bookmarkStart w:id="1086" w:name="_MON_1395740635"/>
    <w:bookmarkStart w:id="1087" w:name="_MON_1395908937"/>
    <w:bookmarkStart w:id="1088" w:name="_MON_1424761958"/>
    <w:bookmarkStart w:id="1089" w:name="_MON_1425191951"/>
    <w:bookmarkStart w:id="1090" w:name="_MON_1426926176"/>
    <w:bookmarkStart w:id="1091" w:name="_MON_1426926202"/>
    <w:bookmarkStart w:id="1092" w:name="_MON_1426926218"/>
    <w:bookmarkStart w:id="1093" w:name="_MON_1426926237"/>
    <w:bookmarkStart w:id="1094" w:name="_MON_1426926253"/>
    <w:bookmarkStart w:id="1095" w:name="_MON_1426926270"/>
    <w:bookmarkStart w:id="1096" w:name="_MON_1426926291"/>
    <w:bookmarkStart w:id="1097" w:name="_MON_1426926308"/>
    <w:bookmarkStart w:id="1098" w:name="_MON_1426926347"/>
    <w:bookmarkStart w:id="1099" w:name="_MON_1426926422"/>
    <w:bookmarkStart w:id="1100" w:name="_MON_1426926466"/>
    <w:bookmarkStart w:id="1101" w:name="_MON_1427001908"/>
    <w:bookmarkStart w:id="1102" w:name="_MON_1427100045"/>
    <w:bookmarkStart w:id="1103" w:name="_MON_1430812161"/>
    <w:bookmarkStart w:id="1104" w:name="_MON_1434881430"/>
    <w:bookmarkStart w:id="1105" w:name="_MON_1441024416"/>
    <w:bookmarkStart w:id="1106" w:name="_MON_1442996685"/>
    <w:bookmarkStart w:id="1107" w:name="_MON_1446450986"/>
    <w:bookmarkStart w:id="1108" w:name="_MON_1451217680"/>
    <w:bookmarkStart w:id="1109" w:name="_MON_1453637617"/>
    <w:bookmarkStart w:id="1110" w:name="_MON_1453803104"/>
    <w:bookmarkStart w:id="1111" w:name="_MON_1454308279"/>
    <w:bookmarkStart w:id="1112" w:name="_MON_1456741404"/>
    <w:bookmarkStart w:id="1113" w:name="_MON_1458646662"/>
    <w:bookmarkStart w:id="1114" w:name="_MON_1458717386"/>
    <w:bookmarkStart w:id="1115" w:name="_MON_1461477518"/>
    <w:bookmarkStart w:id="1116" w:name="_MON_1466428364"/>
    <w:bookmarkStart w:id="1117" w:name="_MON_1466502722"/>
    <w:bookmarkStart w:id="1118" w:name="_MON_1264270465"/>
    <w:bookmarkStart w:id="1119" w:name="_MON_1264270487"/>
    <w:bookmarkStart w:id="1120" w:name="_MON_1264270510"/>
    <w:bookmarkStart w:id="1121" w:name="_MON_1264270745"/>
    <w:bookmarkStart w:id="1122" w:name="_MON_1264407199"/>
    <w:bookmarkStart w:id="1123" w:name="_MON_1264871561"/>
    <w:bookmarkStart w:id="1124" w:name="_MON_1264953659"/>
    <w:bookmarkStart w:id="1125" w:name="_MON_1265723871"/>
    <w:bookmarkStart w:id="1126" w:name="_MON_1266496156"/>
    <w:bookmarkStart w:id="1127" w:name="_MON_1288368636"/>
    <w:bookmarkStart w:id="1128" w:name="_MON_1296807393"/>
    <w:bookmarkStart w:id="1129" w:name="_MON_1296921540"/>
    <w:bookmarkStart w:id="1130" w:name="_MON_1296921782"/>
    <w:bookmarkStart w:id="1131" w:name="_MON_1297522211"/>
    <w:bookmarkStart w:id="1132" w:name="_MON_1297522254"/>
    <w:bookmarkStart w:id="1133" w:name="_MON_1322814858"/>
    <w:bookmarkStart w:id="1134" w:name="_MON_1328094711"/>
    <w:bookmarkStart w:id="1135" w:name="_MON_1328421298"/>
    <w:bookmarkStart w:id="1136" w:name="_MON_1328697873"/>
    <w:bookmarkStart w:id="1137" w:name="_MON_1329721285"/>
    <w:bookmarkStart w:id="1138" w:name="_MON_1355236541"/>
    <w:bookmarkStart w:id="1139" w:name="_MON_1359360887"/>
    <w:bookmarkStart w:id="1140" w:name="_MON_1359361175"/>
    <w:bookmarkStart w:id="1141" w:name="_MON_1359361312"/>
    <w:bookmarkStart w:id="1142" w:name="_MON_1359373459"/>
    <w:bookmarkStart w:id="1143" w:name="_MON_1359373569"/>
    <w:bookmarkStart w:id="1144" w:name="_MON_1363961663"/>
    <w:bookmarkStart w:id="1145" w:name="_MON_1363961924"/>
    <w:bookmarkStart w:id="1146" w:name="_MON_1364020474"/>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Start w:id="1147" w:name="_MON_1364020543"/>
    <w:bookmarkEnd w:id="1147"/>
    <w:p w14:paraId="56B398D7" w14:textId="768DBFF1" w:rsidR="00E13237" w:rsidRPr="0088338F" w:rsidRDefault="0088338F" w:rsidP="003C18A9">
      <w:pPr>
        <w:jc w:val="both"/>
        <w:rPr>
          <w:rFonts w:ascii="Arial" w:hAnsi="Arial" w:cs="Arial"/>
          <w:sz w:val="20"/>
          <w:szCs w:val="20"/>
        </w:rPr>
      </w:pPr>
      <w:r w:rsidRPr="0088338F">
        <w:rPr>
          <w:rFonts w:ascii="Arial" w:hAnsi="Arial" w:cs="Arial"/>
        </w:rPr>
        <w:object w:dxaOrig="9694" w:dyaOrig="4253" w14:anchorId="03D74622">
          <v:shape id="_x0000_i1057" type="#_x0000_t75" style="width:451.8pt;height:218.4pt" o:ole="" o:preferrelative="f">
            <v:imagedata r:id="rId92" o:title=""/>
            <o:lock v:ext="edit" aspectratio="f"/>
          </v:shape>
          <o:OLEObject Type="Embed" ProgID="Excel.Sheet.8" ShapeID="_x0000_i1057" DrawAspect="Content" ObjectID="_1551591558" r:id="rId93"/>
        </w:object>
      </w:r>
    </w:p>
    <w:p w14:paraId="42FB62E5" w14:textId="77777777" w:rsidR="00C3226A" w:rsidRPr="0088338F" w:rsidRDefault="00C3226A" w:rsidP="003C18A9">
      <w:pPr>
        <w:jc w:val="both"/>
        <w:rPr>
          <w:rFonts w:ascii="Arial" w:hAnsi="Arial" w:cs="Arial"/>
          <w:sz w:val="20"/>
          <w:szCs w:val="20"/>
        </w:rPr>
      </w:pPr>
    </w:p>
    <w:p w14:paraId="410DCF85" w14:textId="77777777" w:rsidR="00094563" w:rsidRPr="0088338F" w:rsidRDefault="00094563" w:rsidP="003C18A9">
      <w:pPr>
        <w:jc w:val="both"/>
        <w:rPr>
          <w:rFonts w:ascii="Arial" w:hAnsi="Arial" w:cs="Arial"/>
          <w:sz w:val="20"/>
          <w:szCs w:val="20"/>
        </w:rPr>
      </w:pPr>
    </w:p>
    <w:p w14:paraId="49DF0379" w14:textId="77777777" w:rsidR="00812ECC" w:rsidRPr="0088338F" w:rsidRDefault="00E67F77" w:rsidP="00E67F77">
      <w:pPr>
        <w:jc w:val="both"/>
        <w:rPr>
          <w:rFonts w:ascii="Arial" w:hAnsi="Arial" w:cs="Arial"/>
          <w:sz w:val="20"/>
          <w:szCs w:val="20"/>
        </w:rPr>
      </w:pPr>
      <w:r w:rsidRPr="0088338F">
        <w:rPr>
          <w:rFonts w:ascii="Arial" w:hAnsi="Arial" w:cs="Arial"/>
          <w:sz w:val="20"/>
          <w:szCs w:val="20"/>
        </w:rPr>
        <w:t>Pohyby sociálneho fondu:</w:t>
      </w:r>
    </w:p>
    <w:bookmarkStart w:id="1148" w:name="_MON_1456741481"/>
    <w:bookmarkStart w:id="1149" w:name="_MON_1458646858"/>
    <w:bookmarkStart w:id="1150" w:name="_MON_1458646894"/>
    <w:bookmarkStart w:id="1151" w:name="_MON_1458647006"/>
    <w:bookmarkStart w:id="1152" w:name="_MON_1459064230"/>
    <w:bookmarkStart w:id="1153" w:name="_MON_1459064279"/>
    <w:bookmarkStart w:id="1154" w:name="_MON_1284996277"/>
    <w:bookmarkStart w:id="1155" w:name="_MON_1293457680"/>
    <w:bookmarkStart w:id="1156" w:name="_MON_1293457740"/>
    <w:bookmarkStart w:id="1157" w:name="_MON_1300716211"/>
    <w:bookmarkStart w:id="1158" w:name="_MON_1308556513"/>
    <w:bookmarkStart w:id="1159" w:name="_MON_1308556535"/>
    <w:bookmarkStart w:id="1160" w:name="_MON_1308581016"/>
    <w:bookmarkStart w:id="1161" w:name="_MON_1316527522"/>
    <w:bookmarkStart w:id="1162" w:name="_MON_1316527540"/>
    <w:bookmarkStart w:id="1163" w:name="_MON_1324812211"/>
    <w:bookmarkStart w:id="1164" w:name="_MON_1332410384"/>
    <w:bookmarkStart w:id="1165" w:name="_MON_1340191050"/>
    <w:bookmarkStart w:id="1166" w:name="_MON_1340191069"/>
    <w:bookmarkStart w:id="1167" w:name="_MON_1340191093"/>
    <w:bookmarkStart w:id="1168" w:name="_MON_1348582068"/>
    <w:bookmarkStart w:id="1169" w:name="_MON_1348582090"/>
    <w:bookmarkStart w:id="1170" w:name="_MON_1348739194"/>
    <w:bookmarkStart w:id="1171" w:name="_MON_1356334821"/>
    <w:bookmarkStart w:id="1172" w:name="_MON_1356334835"/>
    <w:bookmarkStart w:id="1173" w:name="_MON_1363961965"/>
    <w:bookmarkStart w:id="1174" w:name="_MON_1372072671"/>
    <w:bookmarkStart w:id="1175" w:name="_MON_1380098119"/>
    <w:bookmarkStart w:id="1176" w:name="_MON_1380098190"/>
    <w:bookmarkStart w:id="1177" w:name="_MON_1387456828"/>
    <w:bookmarkStart w:id="1178" w:name="_MON_1395042860"/>
    <w:bookmarkStart w:id="1179" w:name="_MON_1395740790"/>
    <w:bookmarkStart w:id="1180" w:name="_MON_1395740831"/>
    <w:bookmarkStart w:id="1181" w:name="_MON_1424761980"/>
    <w:bookmarkStart w:id="1182" w:name="_MON_1426926686"/>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Start w:id="1183" w:name="_MON_1427621963"/>
    <w:bookmarkEnd w:id="1183"/>
    <w:p w14:paraId="0B9510DA" w14:textId="53184F91" w:rsidR="00812ECC" w:rsidRPr="0088338F" w:rsidRDefault="00E7530B" w:rsidP="00812ECC">
      <w:pPr>
        <w:jc w:val="both"/>
        <w:rPr>
          <w:rFonts w:ascii="Arial" w:hAnsi="Arial" w:cs="Arial"/>
          <w:sz w:val="20"/>
          <w:szCs w:val="20"/>
        </w:rPr>
      </w:pPr>
      <w:r w:rsidRPr="0088338F">
        <w:rPr>
          <w:rFonts w:ascii="Arial" w:hAnsi="Arial" w:cs="Arial"/>
        </w:rPr>
        <w:object w:dxaOrig="9669" w:dyaOrig="1780" w14:anchorId="4B3FAAD7">
          <v:shape id="_x0000_i1058" type="#_x0000_t75" style="width:450.6pt;height:91.2pt" o:ole="" o:preferrelative="f">
            <v:imagedata r:id="rId94" o:title=""/>
            <o:lock v:ext="edit" aspectratio="f"/>
          </v:shape>
          <o:OLEObject Type="Embed" ProgID="Excel.Sheet.8" ShapeID="_x0000_i1058" DrawAspect="Content" ObjectID="_1551591559" r:id="rId95"/>
        </w:object>
      </w:r>
    </w:p>
    <w:p w14:paraId="70B43124" w14:textId="77777777" w:rsidR="00812ECC" w:rsidRPr="0088338F" w:rsidRDefault="00812ECC" w:rsidP="003C18A9">
      <w:pPr>
        <w:jc w:val="both"/>
        <w:rPr>
          <w:rFonts w:ascii="Arial" w:hAnsi="Arial" w:cs="Arial"/>
          <w:sz w:val="20"/>
          <w:szCs w:val="20"/>
        </w:rPr>
      </w:pPr>
    </w:p>
    <w:p w14:paraId="4BCE29E3" w14:textId="77777777" w:rsidR="00CD1552" w:rsidRPr="0088338F" w:rsidRDefault="00CD1552" w:rsidP="003C18A9">
      <w:pPr>
        <w:jc w:val="both"/>
        <w:rPr>
          <w:rFonts w:ascii="Arial" w:hAnsi="Arial" w:cs="Arial"/>
          <w:sz w:val="20"/>
          <w:szCs w:val="20"/>
        </w:rPr>
      </w:pPr>
    </w:p>
    <w:p w14:paraId="36B7CA30" w14:textId="77777777" w:rsidR="00CD1552" w:rsidRPr="0088338F" w:rsidRDefault="00CD1552" w:rsidP="003C18A9">
      <w:pPr>
        <w:jc w:val="both"/>
        <w:rPr>
          <w:rFonts w:ascii="Arial" w:hAnsi="Arial" w:cs="Arial"/>
          <w:sz w:val="20"/>
          <w:szCs w:val="20"/>
        </w:rPr>
      </w:pPr>
    </w:p>
    <w:p w14:paraId="43D46A5B" w14:textId="77777777" w:rsidR="00CD1552" w:rsidRPr="0088338F" w:rsidRDefault="00CD1552" w:rsidP="003C18A9">
      <w:pPr>
        <w:jc w:val="both"/>
        <w:rPr>
          <w:rFonts w:ascii="Arial" w:hAnsi="Arial" w:cs="Arial"/>
          <w:sz w:val="20"/>
          <w:szCs w:val="20"/>
        </w:rPr>
      </w:pPr>
    </w:p>
    <w:p w14:paraId="4700F382" w14:textId="77777777" w:rsidR="00CD1552" w:rsidRPr="0088338F" w:rsidRDefault="00CD1552" w:rsidP="003C18A9">
      <w:pPr>
        <w:jc w:val="both"/>
        <w:rPr>
          <w:rFonts w:ascii="Arial" w:hAnsi="Arial" w:cs="Arial"/>
          <w:sz w:val="20"/>
          <w:szCs w:val="20"/>
        </w:rPr>
      </w:pPr>
    </w:p>
    <w:p w14:paraId="0A8AA2E3" w14:textId="77777777" w:rsidR="00CD1552" w:rsidRPr="0088338F" w:rsidRDefault="00CD1552" w:rsidP="003C18A9">
      <w:pPr>
        <w:jc w:val="both"/>
        <w:rPr>
          <w:rFonts w:ascii="Arial" w:hAnsi="Arial" w:cs="Arial"/>
          <w:sz w:val="20"/>
          <w:szCs w:val="20"/>
        </w:rPr>
      </w:pPr>
    </w:p>
    <w:p w14:paraId="03979E15" w14:textId="77777777" w:rsidR="00B7782A" w:rsidRPr="0088338F" w:rsidRDefault="00F838FA"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br w:type="page"/>
      </w:r>
      <w:r w:rsidR="00B7782A" w:rsidRPr="0088338F">
        <w:rPr>
          <w:rFonts w:ascii="Arial" w:hAnsi="Arial" w:cs="Arial"/>
          <w:b/>
          <w:caps/>
          <w:sz w:val="20"/>
          <w:szCs w:val="20"/>
        </w:rPr>
        <w:lastRenderedPageBreak/>
        <w:t>základné imanie</w:t>
      </w:r>
      <w:r w:rsidR="00335C12" w:rsidRPr="0088338F">
        <w:rPr>
          <w:rFonts w:ascii="Arial" w:hAnsi="Arial" w:cs="Arial"/>
          <w:b/>
          <w:caps/>
          <w:sz w:val="20"/>
          <w:szCs w:val="20"/>
        </w:rPr>
        <w:t>,</w:t>
      </w:r>
      <w:r w:rsidR="004A735A" w:rsidRPr="0088338F">
        <w:rPr>
          <w:rFonts w:ascii="Arial" w:hAnsi="Arial" w:cs="Arial"/>
          <w:b/>
          <w:caps/>
          <w:sz w:val="20"/>
          <w:szCs w:val="20"/>
        </w:rPr>
        <w:t> KAPITÁLOVÉ FONDY ZO ZISKU</w:t>
      </w:r>
      <w:r w:rsidR="00335C12" w:rsidRPr="0088338F">
        <w:rPr>
          <w:rFonts w:ascii="Arial" w:hAnsi="Arial" w:cs="Arial"/>
          <w:b/>
          <w:caps/>
          <w:sz w:val="20"/>
          <w:szCs w:val="20"/>
        </w:rPr>
        <w:t xml:space="preserve"> a oceňovacie rozdiely</w:t>
      </w:r>
    </w:p>
    <w:p w14:paraId="6A984745" w14:textId="77777777" w:rsidR="00B7782A" w:rsidRPr="0088338F" w:rsidRDefault="00B7782A" w:rsidP="003C18A9">
      <w:pPr>
        <w:jc w:val="both"/>
        <w:rPr>
          <w:rFonts w:ascii="Arial" w:hAnsi="Arial" w:cs="Arial"/>
          <w:sz w:val="20"/>
          <w:szCs w:val="20"/>
        </w:rPr>
      </w:pPr>
    </w:p>
    <w:p w14:paraId="6EF31262" w14:textId="77777777" w:rsidR="00335C12" w:rsidRPr="0088338F" w:rsidRDefault="00335C12" w:rsidP="00335C12">
      <w:pPr>
        <w:jc w:val="both"/>
        <w:rPr>
          <w:rFonts w:ascii="Arial" w:hAnsi="Arial" w:cs="Arial"/>
          <w:b/>
          <w:sz w:val="20"/>
          <w:szCs w:val="20"/>
        </w:rPr>
      </w:pPr>
      <w:r w:rsidRPr="0088338F">
        <w:rPr>
          <w:rFonts w:ascii="Arial" w:hAnsi="Arial" w:cs="Arial"/>
          <w:b/>
          <w:sz w:val="20"/>
          <w:szCs w:val="20"/>
        </w:rPr>
        <w:t>Základné imanie</w:t>
      </w:r>
    </w:p>
    <w:p w14:paraId="7E151E27" w14:textId="77777777" w:rsidR="00335C12" w:rsidRPr="0088338F" w:rsidRDefault="00335C12" w:rsidP="003C18A9">
      <w:pPr>
        <w:jc w:val="both"/>
        <w:rPr>
          <w:rFonts w:ascii="Arial" w:hAnsi="Arial" w:cs="Arial"/>
          <w:sz w:val="20"/>
          <w:szCs w:val="20"/>
        </w:rPr>
      </w:pPr>
    </w:p>
    <w:bookmarkStart w:id="1184" w:name="_MON_1391948743"/>
    <w:bookmarkStart w:id="1185" w:name="_MON_1422086908"/>
    <w:bookmarkStart w:id="1186" w:name="_MON_1453637985"/>
    <w:bookmarkStart w:id="1187" w:name="_MON_1232828522"/>
    <w:bookmarkStart w:id="1188" w:name="_MON_1249395408"/>
    <w:bookmarkStart w:id="1189" w:name="_MON_1288368680"/>
    <w:bookmarkStart w:id="1190" w:name="_MON_1289455052"/>
    <w:bookmarkStart w:id="1191" w:name="_MON_1322814990"/>
    <w:bookmarkStart w:id="1192" w:name="_MON_1322815097"/>
    <w:bookmarkStart w:id="1193" w:name="_MON_1355236596"/>
    <w:bookmarkEnd w:id="1184"/>
    <w:bookmarkEnd w:id="1185"/>
    <w:bookmarkEnd w:id="1186"/>
    <w:bookmarkEnd w:id="1187"/>
    <w:bookmarkEnd w:id="1188"/>
    <w:bookmarkEnd w:id="1189"/>
    <w:bookmarkEnd w:id="1190"/>
    <w:bookmarkEnd w:id="1191"/>
    <w:bookmarkEnd w:id="1192"/>
    <w:bookmarkEnd w:id="1193"/>
    <w:bookmarkStart w:id="1194" w:name="_MON_1389888815"/>
    <w:bookmarkEnd w:id="1194"/>
    <w:p w14:paraId="0B32B562" w14:textId="05478AA0" w:rsidR="00100B84" w:rsidRPr="0088338F" w:rsidRDefault="004918D0" w:rsidP="003C18A9">
      <w:pPr>
        <w:jc w:val="both"/>
        <w:rPr>
          <w:rFonts w:ascii="Arial" w:hAnsi="Arial" w:cs="Arial"/>
          <w:sz w:val="20"/>
          <w:szCs w:val="20"/>
        </w:rPr>
      </w:pPr>
      <w:r w:rsidRPr="0088338F">
        <w:rPr>
          <w:rFonts w:ascii="Arial" w:hAnsi="Arial" w:cs="Arial"/>
        </w:rPr>
        <w:object w:dxaOrig="9669" w:dyaOrig="1780" w14:anchorId="6489CF12">
          <v:shape id="_x0000_i1059" type="#_x0000_t75" style="width:450.6pt;height:91.2pt" o:ole="" o:preferrelative="f">
            <v:imagedata r:id="rId96" o:title=""/>
            <o:lock v:ext="edit" aspectratio="f"/>
          </v:shape>
          <o:OLEObject Type="Embed" ProgID="Excel.Sheet.8" ShapeID="_x0000_i1059" DrawAspect="Content" ObjectID="_1551591560" r:id="rId97"/>
        </w:object>
      </w:r>
    </w:p>
    <w:p w14:paraId="336523C7" w14:textId="77777777" w:rsidR="00E97881" w:rsidRPr="0088338F" w:rsidRDefault="00E97881" w:rsidP="003C18A9">
      <w:pPr>
        <w:jc w:val="both"/>
        <w:rPr>
          <w:rFonts w:ascii="Arial" w:hAnsi="Arial" w:cs="Arial"/>
          <w:sz w:val="20"/>
          <w:szCs w:val="20"/>
        </w:rPr>
      </w:pPr>
    </w:p>
    <w:p w14:paraId="4A1A6574" w14:textId="77777777" w:rsidR="00A66D43" w:rsidRPr="0088338F" w:rsidRDefault="005208A3" w:rsidP="003C18A9">
      <w:pPr>
        <w:jc w:val="both"/>
        <w:rPr>
          <w:rFonts w:ascii="Arial" w:hAnsi="Arial" w:cs="Arial"/>
          <w:sz w:val="20"/>
          <w:szCs w:val="20"/>
        </w:rPr>
      </w:pPr>
      <w:r w:rsidRPr="0088338F">
        <w:rPr>
          <w:rFonts w:ascii="Arial" w:hAnsi="Arial" w:cs="Arial"/>
          <w:sz w:val="20"/>
          <w:szCs w:val="20"/>
        </w:rPr>
        <w:t>Celý objem základného imania vo výške 25 121 tis. EUR je zapísaný v obchodnom registri.</w:t>
      </w:r>
    </w:p>
    <w:p w14:paraId="71B2FD03" w14:textId="77777777" w:rsidR="00C3226A" w:rsidRPr="0088338F" w:rsidRDefault="00C3226A" w:rsidP="00FA2104">
      <w:pPr>
        <w:rPr>
          <w:rFonts w:ascii="Arial" w:hAnsi="Arial" w:cs="Arial"/>
          <w:sz w:val="20"/>
        </w:rPr>
      </w:pPr>
    </w:p>
    <w:p w14:paraId="7AA14F2D" w14:textId="249CC08B" w:rsidR="00FA2104" w:rsidRPr="0088338F" w:rsidRDefault="00FA2104" w:rsidP="00FA2104">
      <w:pPr>
        <w:rPr>
          <w:rFonts w:ascii="Arial" w:hAnsi="Arial" w:cs="Arial"/>
          <w:b/>
          <w:bCs/>
          <w:i/>
          <w:iCs/>
          <w:sz w:val="20"/>
        </w:rPr>
      </w:pPr>
      <w:r w:rsidRPr="0088338F">
        <w:rPr>
          <w:rFonts w:ascii="Arial" w:hAnsi="Arial" w:cs="Arial"/>
          <w:sz w:val="20"/>
        </w:rPr>
        <w:t>Zloženie akcionárov banky k 31. decembru 20</w:t>
      </w:r>
      <w:r w:rsidR="00E97881" w:rsidRPr="0088338F">
        <w:rPr>
          <w:rFonts w:ascii="Arial" w:hAnsi="Arial" w:cs="Arial"/>
          <w:sz w:val="20"/>
        </w:rPr>
        <w:t>1</w:t>
      </w:r>
      <w:r w:rsidR="004918D0" w:rsidRPr="0088338F">
        <w:rPr>
          <w:rFonts w:ascii="Arial" w:hAnsi="Arial" w:cs="Arial"/>
          <w:sz w:val="20"/>
        </w:rPr>
        <w:t>6</w:t>
      </w:r>
      <w:r w:rsidR="00452EFC" w:rsidRPr="0088338F">
        <w:rPr>
          <w:rFonts w:ascii="Arial" w:hAnsi="Arial" w:cs="Arial"/>
          <w:sz w:val="20"/>
        </w:rPr>
        <w:t xml:space="preserve"> a k 31. decembru 20</w:t>
      </w:r>
      <w:r w:rsidR="00DC6031" w:rsidRPr="0088338F">
        <w:rPr>
          <w:rFonts w:ascii="Arial" w:hAnsi="Arial" w:cs="Arial"/>
          <w:sz w:val="20"/>
        </w:rPr>
        <w:t>1</w:t>
      </w:r>
      <w:r w:rsidR="004918D0" w:rsidRPr="0088338F">
        <w:rPr>
          <w:rFonts w:ascii="Arial" w:hAnsi="Arial" w:cs="Arial"/>
          <w:sz w:val="20"/>
        </w:rPr>
        <w:t>5</w:t>
      </w:r>
      <w:r w:rsidR="0058294A" w:rsidRPr="0088338F">
        <w:rPr>
          <w:rFonts w:ascii="Arial" w:hAnsi="Arial" w:cs="Arial"/>
          <w:sz w:val="20"/>
        </w:rPr>
        <w:t>:</w:t>
      </w:r>
    </w:p>
    <w:p w14:paraId="1967718D" w14:textId="77777777" w:rsidR="00FA2104" w:rsidRPr="0088338F" w:rsidRDefault="00FA2104" w:rsidP="00FA2104">
      <w:pPr>
        <w:jc w:val="both"/>
        <w:rPr>
          <w:rFonts w:ascii="Arial" w:hAnsi="Arial" w:cs="Arial"/>
          <w:sz w:val="20"/>
          <w:szCs w:val="20"/>
        </w:rPr>
      </w:pPr>
    </w:p>
    <w:bookmarkStart w:id="1195" w:name="_MON_1249715846"/>
    <w:bookmarkStart w:id="1196" w:name="_MON_1262948818"/>
    <w:bookmarkStart w:id="1197" w:name="_MON_1262948930"/>
    <w:bookmarkStart w:id="1198" w:name="_MON_1264948943"/>
    <w:bookmarkStart w:id="1199" w:name="_MON_1265644752"/>
    <w:bookmarkStart w:id="1200" w:name="_MON_1265803282"/>
    <w:bookmarkStart w:id="1201" w:name="_MON_1266496167"/>
    <w:bookmarkStart w:id="1202" w:name="_MON_1266498001"/>
    <w:bookmarkStart w:id="1203" w:name="_MON_1266498016"/>
    <w:bookmarkStart w:id="1204" w:name="_MON_1266498030"/>
    <w:bookmarkStart w:id="1205" w:name="_MON_1266941856"/>
    <w:bookmarkStart w:id="1206" w:name="_MON_1288368710"/>
    <w:bookmarkStart w:id="1207" w:name="_MON_1322815117"/>
    <w:bookmarkStart w:id="1208" w:name="_MON_1454136052"/>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Start w:id="1209" w:name="_MON_1454306803"/>
    <w:bookmarkEnd w:id="1209"/>
    <w:p w14:paraId="307BFFF8" w14:textId="77777777" w:rsidR="00797717" w:rsidRPr="0088338F" w:rsidRDefault="002E6424" w:rsidP="003C18A9">
      <w:pPr>
        <w:jc w:val="both"/>
        <w:rPr>
          <w:rFonts w:ascii="Arial" w:hAnsi="Arial" w:cs="Arial"/>
          <w:sz w:val="20"/>
          <w:szCs w:val="20"/>
        </w:rPr>
      </w:pPr>
      <w:r w:rsidRPr="0088338F">
        <w:rPr>
          <w:rFonts w:ascii="Arial" w:hAnsi="Arial" w:cs="Arial"/>
        </w:rPr>
        <w:object w:dxaOrig="9849" w:dyaOrig="1796" w14:anchorId="15D9E4FF">
          <v:shape id="_x0000_i1060" type="#_x0000_t75" style="width:457.2pt;height:92.4pt" o:ole="" o:preferrelative="f">
            <v:imagedata r:id="rId98" o:title=""/>
            <o:lock v:ext="edit" aspectratio="f"/>
          </v:shape>
          <o:OLEObject Type="Embed" ProgID="Excel.Sheet.8" ShapeID="_x0000_i1060" DrawAspect="Content" ObjectID="_1551591561" r:id="rId99"/>
        </w:object>
      </w:r>
    </w:p>
    <w:p w14:paraId="2017AD74" w14:textId="77777777" w:rsidR="006A0B29" w:rsidRPr="0088338F" w:rsidRDefault="006A0B29" w:rsidP="006A0B29">
      <w:pPr>
        <w:jc w:val="both"/>
        <w:rPr>
          <w:rFonts w:ascii="Arial" w:hAnsi="Arial" w:cs="Arial"/>
          <w:b/>
          <w:sz w:val="20"/>
          <w:szCs w:val="20"/>
        </w:rPr>
      </w:pPr>
      <w:r w:rsidRPr="0088338F">
        <w:rPr>
          <w:rFonts w:ascii="Arial" w:hAnsi="Arial" w:cs="Arial"/>
          <w:b/>
          <w:sz w:val="20"/>
          <w:szCs w:val="20"/>
        </w:rPr>
        <w:t>Zákonný rezervný fond</w:t>
      </w:r>
    </w:p>
    <w:p w14:paraId="4766053F" w14:textId="77777777" w:rsidR="00335C12" w:rsidRPr="0088338F" w:rsidRDefault="00335C12" w:rsidP="003C18A9">
      <w:pPr>
        <w:jc w:val="both"/>
        <w:rPr>
          <w:rFonts w:ascii="Arial" w:hAnsi="Arial" w:cs="Arial"/>
          <w:sz w:val="20"/>
          <w:szCs w:val="20"/>
        </w:rPr>
      </w:pPr>
    </w:p>
    <w:p w14:paraId="2FE40E04" w14:textId="77777777" w:rsidR="006A0B29" w:rsidRPr="0088338F" w:rsidRDefault="006A0B29" w:rsidP="003C18A9">
      <w:pPr>
        <w:jc w:val="both"/>
        <w:rPr>
          <w:rFonts w:ascii="Arial" w:hAnsi="Arial" w:cs="Arial"/>
          <w:sz w:val="20"/>
          <w:szCs w:val="20"/>
        </w:rPr>
      </w:pPr>
      <w:r w:rsidRPr="0088338F">
        <w:rPr>
          <w:rFonts w:ascii="Arial" w:hAnsi="Arial" w:cs="Arial"/>
          <w:sz w:val="20"/>
          <w:szCs w:val="20"/>
        </w:rPr>
        <w:t>V zmysle Obchodného zákonníka platného v Slovenskej republike musia všetky spoločnosti viesť zákonný rezervný fond na krytie nepriaznivej finančnej situácie v budúcnosti. Banka je povinná každoročne prispievať do tohto fondu sumou minimálne vo výške 10 % svojho ročného čistého zisku (vypočítanom podľa slovenských účtovných predpisov), až kým celková suma nedosiahne minimálnu výšku rovnajúcu sa 20 % emitovaného základného imania. Zákonný rezervný fond nie je k dispozícii na rozdelenie akcionárovi.</w:t>
      </w:r>
    </w:p>
    <w:p w14:paraId="5AFA77E8" w14:textId="77777777" w:rsidR="007E6C2F" w:rsidRPr="0088338F" w:rsidRDefault="007E6C2F" w:rsidP="003C18A9">
      <w:pPr>
        <w:jc w:val="both"/>
        <w:rPr>
          <w:rFonts w:ascii="Arial" w:hAnsi="Arial" w:cs="Arial"/>
          <w:sz w:val="20"/>
          <w:szCs w:val="20"/>
        </w:rPr>
      </w:pPr>
    </w:p>
    <w:p w14:paraId="55D6F1EC" w14:textId="77777777" w:rsidR="006A0B29" w:rsidRPr="0088338F" w:rsidRDefault="006A0B29" w:rsidP="006A0B29">
      <w:pPr>
        <w:jc w:val="both"/>
        <w:rPr>
          <w:rFonts w:ascii="Arial" w:hAnsi="Arial" w:cs="Arial"/>
          <w:b/>
          <w:sz w:val="20"/>
          <w:szCs w:val="20"/>
        </w:rPr>
      </w:pPr>
      <w:r w:rsidRPr="0088338F">
        <w:rPr>
          <w:rFonts w:ascii="Arial" w:hAnsi="Arial" w:cs="Arial"/>
          <w:b/>
          <w:sz w:val="20"/>
          <w:szCs w:val="20"/>
        </w:rPr>
        <w:t>Oceňovacie rozdiely z cenných papierov k dispozícii na predaj vrátane odloženej dane</w:t>
      </w:r>
    </w:p>
    <w:p w14:paraId="320BC121" w14:textId="77777777" w:rsidR="006A0B29" w:rsidRPr="0088338F" w:rsidRDefault="006A0B29" w:rsidP="006A0B29">
      <w:pPr>
        <w:jc w:val="both"/>
        <w:rPr>
          <w:rFonts w:ascii="Arial" w:hAnsi="Arial" w:cs="Arial"/>
          <w:sz w:val="20"/>
          <w:szCs w:val="20"/>
        </w:rPr>
      </w:pPr>
    </w:p>
    <w:p w14:paraId="07FCD307" w14:textId="77777777" w:rsidR="006A0B29" w:rsidRPr="0088338F" w:rsidRDefault="006A0B29" w:rsidP="006A0B29">
      <w:pPr>
        <w:jc w:val="both"/>
        <w:rPr>
          <w:rFonts w:ascii="Arial" w:hAnsi="Arial" w:cs="Arial"/>
          <w:sz w:val="20"/>
          <w:szCs w:val="20"/>
        </w:rPr>
      </w:pPr>
      <w:r w:rsidRPr="0088338F">
        <w:rPr>
          <w:rFonts w:ascii="Arial" w:hAnsi="Arial" w:cs="Arial"/>
          <w:sz w:val="20"/>
          <w:szCs w:val="20"/>
        </w:rPr>
        <w:t>Oceňovacie rozdiely z cenných papierov k dispozícii na predaj predstavujú nerealizované precenenie cenných papierov na predaj</w:t>
      </w:r>
      <w:r w:rsidR="00E51A11" w:rsidRPr="0088338F">
        <w:rPr>
          <w:rFonts w:ascii="Arial" w:hAnsi="Arial" w:cs="Arial"/>
          <w:sz w:val="20"/>
          <w:szCs w:val="20"/>
        </w:rPr>
        <w:t xml:space="preserve"> a cenných papierov reklasifikovaných do portfólia cenných papierov držaných do splatnosti</w:t>
      </w:r>
      <w:r w:rsidRPr="0088338F">
        <w:rPr>
          <w:rFonts w:ascii="Arial" w:hAnsi="Arial" w:cs="Arial"/>
          <w:sz w:val="20"/>
          <w:szCs w:val="20"/>
        </w:rPr>
        <w:t xml:space="preserve">. Tieto </w:t>
      </w:r>
      <w:r w:rsidR="007E7A6F" w:rsidRPr="0088338F">
        <w:rPr>
          <w:rFonts w:ascii="Arial" w:hAnsi="Arial" w:cs="Arial"/>
          <w:sz w:val="20"/>
          <w:szCs w:val="20"/>
        </w:rPr>
        <w:t xml:space="preserve">oceňovacie rozdiely z precenenia </w:t>
      </w:r>
      <w:r w:rsidRPr="0088338F">
        <w:rPr>
          <w:rFonts w:ascii="Arial" w:hAnsi="Arial" w:cs="Arial"/>
          <w:sz w:val="20"/>
          <w:szCs w:val="20"/>
        </w:rPr>
        <w:t xml:space="preserve">sú zaúčtované po zohľadnení vplyvu odloženej dane. Takéto </w:t>
      </w:r>
      <w:r w:rsidR="007E7A6F" w:rsidRPr="0088338F">
        <w:rPr>
          <w:rFonts w:ascii="Arial" w:hAnsi="Arial" w:cs="Arial"/>
          <w:sz w:val="20"/>
          <w:szCs w:val="20"/>
        </w:rPr>
        <w:t xml:space="preserve">oceňovacie rozdiely </w:t>
      </w:r>
      <w:r w:rsidRPr="0088338F">
        <w:rPr>
          <w:rFonts w:ascii="Arial" w:hAnsi="Arial" w:cs="Arial"/>
          <w:sz w:val="20"/>
          <w:szCs w:val="20"/>
        </w:rPr>
        <w:t>z precenenia nie sú k dispozícii na rozdelenie akcionárovi.</w:t>
      </w:r>
    </w:p>
    <w:p w14:paraId="09386453" w14:textId="77777777" w:rsidR="00E13237" w:rsidRPr="0088338F" w:rsidRDefault="00E13237" w:rsidP="003C18A9">
      <w:pPr>
        <w:jc w:val="both"/>
        <w:rPr>
          <w:rFonts w:ascii="Arial" w:hAnsi="Arial" w:cs="Arial"/>
          <w:sz w:val="20"/>
          <w:szCs w:val="20"/>
        </w:rPr>
      </w:pPr>
    </w:p>
    <w:p w14:paraId="536D8125" w14:textId="77777777" w:rsidR="00675987" w:rsidRPr="0088338F" w:rsidRDefault="00675987" w:rsidP="00675987">
      <w:pPr>
        <w:jc w:val="both"/>
        <w:rPr>
          <w:rFonts w:ascii="Arial" w:hAnsi="Arial" w:cs="Arial"/>
          <w:b/>
          <w:sz w:val="20"/>
          <w:szCs w:val="20"/>
        </w:rPr>
      </w:pPr>
      <w:r w:rsidRPr="0088338F">
        <w:rPr>
          <w:rFonts w:ascii="Arial" w:hAnsi="Arial" w:cs="Arial"/>
          <w:b/>
          <w:sz w:val="20"/>
          <w:szCs w:val="20"/>
        </w:rPr>
        <w:t>Oceňovacie rozdiely z prepočtu zabezpečovacích derivátov vrátane odloženej dane</w:t>
      </w:r>
    </w:p>
    <w:p w14:paraId="2B003CBD" w14:textId="77777777" w:rsidR="00675987" w:rsidRPr="0088338F" w:rsidRDefault="00675987" w:rsidP="003C18A9">
      <w:pPr>
        <w:jc w:val="both"/>
        <w:rPr>
          <w:rFonts w:ascii="Arial" w:hAnsi="Arial" w:cs="Arial"/>
          <w:sz w:val="20"/>
          <w:szCs w:val="20"/>
        </w:rPr>
      </w:pPr>
    </w:p>
    <w:p w14:paraId="4326DF66" w14:textId="77777777" w:rsidR="008602FF" w:rsidRPr="0088338F" w:rsidRDefault="008602FF" w:rsidP="008602FF">
      <w:pPr>
        <w:jc w:val="both"/>
        <w:rPr>
          <w:rFonts w:ascii="Arial" w:hAnsi="Arial" w:cs="Arial"/>
          <w:sz w:val="20"/>
          <w:szCs w:val="20"/>
        </w:rPr>
      </w:pPr>
      <w:r w:rsidRPr="0088338F">
        <w:rPr>
          <w:rFonts w:ascii="Arial" w:hAnsi="Arial" w:cs="Arial"/>
          <w:sz w:val="20"/>
          <w:szCs w:val="20"/>
        </w:rPr>
        <w:t>Oceňovacie rozdiely z prepočtu zabezpečovacích derivátov predstavujú nerealizované precenenie zabezpečovacích derivátov. Tieto oceňovacie rozdiely z precenenia sú zaúčtované po zohľadnení vplyvu odloženej dane. Takéto oceňovacie rozdiely z precenenia nie sú k dispozícii na rozdelenie akcionárovi.</w:t>
      </w:r>
    </w:p>
    <w:p w14:paraId="4555237F" w14:textId="77777777" w:rsidR="008602FF" w:rsidRPr="0088338F" w:rsidRDefault="008602FF" w:rsidP="003C18A9">
      <w:pPr>
        <w:jc w:val="both"/>
        <w:rPr>
          <w:rFonts w:ascii="Arial" w:hAnsi="Arial" w:cs="Arial"/>
          <w:sz w:val="20"/>
          <w:szCs w:val="20"/>
        </w:rPr>
      </w:pPr>
    </w:p>
    <w:p w14:paraId="6E3F9800" w14:textId="77777777" w:rsidR="008602FF" w:rsidRPr="0088338F" w:rsidRDefault="008602FF" w:rsidP="003C18A9">
      <w:pPr>
        <w:jc w:val="both"/>
        <w:rPr>
          <w:rFonts w:ascii="Arial" w:hAnsi="Arial" w:cs="Arial"/>
          <w:sz w:val="20"/>
          <w:szCs w:val="20"/>
        </w:rPr>
      </w:pPr>
    </w:p>
    <w:p w14:paraId="501F55B8" w14:textId="29486C9D" w:rsidR="000B4B61" w:rsidRPr="0088338F" w:rsidRDefault="00CA0EE4"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br w:type="page"/>
      </w:r>
      <w:r w:rsidR="000B4B61" w:rsidRPr="0088338F">
        <w:rPr>
          <w:rFonts w:ascii="Arial" w:hAnsi="Arial" w:cs="Arial"/>
          <w:b/>
          <w:caps/>
          <w:sz w:val="20"/>
          <w:szCs w:val="20"/>
        </w:rPr>
        <w:lastRenderedPageBreak/>
        <w:t>návrh na rozdelenie zisku</w:t>
      </w:r>
      <w:r w:rsidR="001F4B78" w:rsidRPr="0088338F">
        <w:rPr>
          <w:rFonts w:ascii="Arial" w:hAnsi="Arial" w:cs="Arial"/>
          <w:b/>
          <w:caps/>
          <w:sz w:val="20"/>
          <w:szCs w:val="20"/>
        </w:rPr>
        <w:t xml:space="preserve"> ZA ROK 20</w:t>
      </w:r>
      <w:r w:rsidR="00E97881" w:rsidRPr="0088338F">
        <w:rPr>
          <w:rFonts w:ascii="Arial" w:hAnsi="Arial" w:cs="Arial"/>
          <w:b/>
          <w:caps/>
          <w:sz w:val="20"/>
          <w:szCs w:val="20"/>
        </w:rPr>
        <w:t>1</w:t>
      </w:r>
      <w:r w:rsidR="004918D0" w:rsidRPr="0088338F">
        <w:rPr>
          <w:rFonts w:ascii="Arial" w:hAnsi="Arial" w:cs="Arial"/>
          <w:b/>
          <w:caps/>
          <w:sz w:val="20"/>
          <w:szCs w:val="20"/>
        </w:rPr>
        <w:t>6</w:t>
      </w:r>
    </w:p>
    <w:p w14:paraId="5D2842E4" w14:textId="77777777" w:rsidR="000B4B61" w:rsidRPr="0088338F" w:rsidRDefault="000B4B61" w:rsidP="003C18A9">
      <w:pPr>
        <w:jc w:val="both"/>
        <w:rPr>
          <w:rFonts w:ascii="Arial" w:hAnsi="Arial" w:cs="Arial"/>
          <w:sz w:val="20"/>
          <w:szCs w:val="20"/>
        </w:rPr>
      </w:pPr>
    </w:p>
    <w:bookmarkStart w:id="1210" w:name="_MON_1454308322"/>
    <w:bookmarkStart w:id="1211" w:name="_MON_1454324274"/>
    <w:bookmarkStart w:id="1212" w:name="_MON_1456128740"/>
    <w:bookmarkStart w:id="1213" w:name="_MON_1216402038"/>
    <w:bookmarkStart w:id="1214" w:name="_MON_1217334801"/>
    <w:bookmarkStart w:id="1215" w:name="_MON_1217334812"/>
    <w:bookmarkStart w:id="1216" w:name="_MON_1217334822"/>
    <w:bookmarkStart w:id="1217" w:name="_MON_1232008695"/>
    <w:bookmarkStart w:id="1218" w:name="_MON_1249395770"/>
    <w:bookmarkStart w:id="1219" w:name="_MON_1264103707"/>
    <w:bookmarkStart w:id="1220" w:name="_MON_1265803307"/>
    <w:bookmarkStart w:id="1221" w:name="_MON_1265803323"/>
    <w:bookmarkStart w:id="1222" w:name="_MON_1265803331"/>
    <w:bookmarkStart w:id="1223" w:name="_MON_1266496177"/>
    <w:bookmarkStart w:id="1224" w:name="_MON_1288368741"/>
    <w:bookmarkStart w:id="1225" w:name="_MON_1296807540"/>
    <w:bookmarkStart w:id="1226" w:name="_MON_1296807727"/>
    <w:bookmarkStart w:id="1227" w:name="_MON_1296807995"/>
    <w:bookmarkStart w:id="1228" w:name="_MON_1297274063"/>
    <w:bookmarkStart w:id="1229" w:name="_MON_1322815275"/>
    <w:bookmarkStart w:id="1230" w:name="_MON_1328445605"/>
    <w:bookmarkStart w:id="1231" w:name="_MON_1328445761"/>
    <w:bookmarkStart w:id="1232" w:name="_MON_1355236652"/>
    <w:bookmarkStart w:id="1233" w:name="_MON_1359136852"/>
    <w:bookmarkStart w:id="1234" w:name="_MON_1359361338"/>
    <w:bookmarkStart w:id="1235" w:name="_MON_1389888879"/>
    <w:bookmarkStart w:id="1236" w:name="_MON_1390891150"/>
    <w:bookmarkStart w:id="1237" w:name="_MON_1391948821"/>
    <w:bookmarkStart w:id="1238" w:name="_MON_1422086985"/>
    <w:bookmarkStart w:id="1239" w:name="_MON_1422276333"/>
    <w:bookmarkStart w:id="1240" w:name="_MON_1453638054"/>
    <w:bookmarkStart w:id="1241" w:name="_MON_1453803528"/>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Start w:id="1242" w:name="_MON_1453805819"/>
    <w:bookmarkEnd w:id="1242"/>
    <w:p w14:paraId="6C9B16DE" w14:textId="320BFB98" w:rsidR="00931D99" w:rsidRPr="0088338F" w:rsidRDefault="00404B2C" w:rsidP="003C18A9">
      <w:pPr>
        <w:jc w:val="both"/>
        <w:rPr>
          <w:rFonts w:ascii="Arial" w:hAnsi="Arial" w:cs="Arial"/>
        </w:rPr>
      </w:pPr>
      <w:r w:rsidRPr="0088338F">
        <w:rPr>
          <w:rFonts w:ascii="Arial" w:hAnsi="Arial" w:cs="Arial"/>
        </w:rPr>
        <w:object w:dxaOrig="9590" w:dyaOrig="1285" w14:anchorId="5DE46D3C">
          <v:shape id="_x0000_i1061" type="#_x0000_t75" style="width:452.4pt;height:66pt" o:ole="" o:preferrelative="f">
            <v:imagedata r:id="rId100" o:title=""/>
            <o:lock v:ext="edit" aspectratio="f"/>
          </v:shape>
          <o:OLEObject Type="Embed" ProgID="Excel.Sheet.8" ShapeID="_x0000_i1061" DrawAspect="Content" ObjectID="_1551591562" r:id="rId101"/>
        </w:object>
      </w:r>
    </w:p>
    <w:p w14:paraId="14C92E06" w14:textId="77777777" w:rsidR="008602FF" w:rsidRPr="0088338F" w:rsidRDefault="008602FF" w:rsidP="003C18A9">
      <w:pPr>
        <w:jc w:val="both"/>
        <w:rPr>
          <w:rFonts w:ascii="Arial" w:hAnsi="Arial" w:cs="Arial"/>
          <w:sz w:val="20"/>
          <w:szCs w:val="20"/>
        </w:rPr>
      </w:pPr>
    </w:p>
    <w:p w14:paraId="04F75AE6" w14:textId="77777777" w:rsidR="00030ECB" w:rsidRPr="0088338F" w:rsidRDefault="00030ECB" w:rsidP="003C18A9">
      <w:pPr>
        <w:jc w:val="both"/>
        <w:rPr>
          <w:rFonts w:ascii="Arial" w:hAnsi="Arial" w:cs="Arial"/>
          <w:sz w:val="20"/>
          <w:szCs w:val="20"/>
        </w:rPr>
      </w:pPr>
    </w:p>
    <w:p w14:paraId="2066DE4E" w14:textId="77777777" w:rsidR="00453A85" w:rsidRPr="0088338F" w:rsidRDefault="00453A85"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daň</w:t>
      </w:r>
      <w:r w:rsidR="00454533" w:rsidRPr="0088338F">
        <w:rPr>
          <w:rFonts w:ascii="Arial" w:hAnsi="Arial" w:cs="Arial"/>
          <w:b/>
          <w:caps/>
          <w:sz w:val="20"/>
          <w:szCs w:val="20"/>
        </w:rPr>
        <w:t>ový výnos</w:t>
      </w:r>
      <w:r w:rsidR="00E96EC9" w:rsidRPr="0088338F">
        <w:rPr>
          <w:rFonts w:ascii="Arial" w:hAnsi="Arial" w:cs="Arial"/>
          <w:b/>
          <w:caps/>
          <w:sz w:val="20"/>
          <w:szCs w:val="20"/>
        </w:rPr>
        <w:t xml:space="preserve"> </w:t>
      </w:r>
      <w:r w:rsidR="00454533" w:rsidRPr="0088338F">
        <w:rPr>
          <w:rFonts w:ascii="Arial" w:hAnsi="Arial" w:cs="Arial"/>
          <w:b/>
          <w:caps/>
          <w:sz w:val="20"/>
          <w:szCs w:val="20"/>
        </w:rPr>
        <w:t>/</w:t>
      </w:r>
      <w:r w:rsidR="00E96EC9" w:rsidRPr="0088338F">
        <w:rPr>
          <w:rFonts w:ascii="Arial" w:hAnsi="Arial" w:cs="Arial"/>
          <w:b/>
          <w:caps/>
          <w:sz w:val="20"/>
          <w:szCs w:val="20"/>
        </w:rPr>
        <w:t xml:space="preserve"> </w:t>
      </w:r>
      <w:r w:rsidR="008843CA" w:rsidRPr="0088338F">
        <w:rPr>
          <w:rFonts w:ascii="Arial" w:hAnsi="Arial" w:cs="Arial"/>
          <w:b/>
          <w:caps/>
          <w:sz w:val="20"/>
          <w:szCs w:val="20"/>
        </w:rPr>
        <w:t>(</w:t>
      </w:r>
      <w:r w:rsidR="009A4791" w:rsidRPr="0088338F">
        <w:rPr>
          <w:rFonts w:ascii="Arial" w:hAnsi="Arial" w:cs="Arial"/>
          <w:b/>
          <w:caps/>
          <w:sz w:val="20"/>
          <w:szCs w:val="20"/>
        </w:rPr>
        <w:t>náklad</w:t>
      </w:r>
      <w:r w:rsidR="008843CA" w:rsidRPr="0088338F">
        <w:rPr>
          <w:rFonts w:ascii="Arial" w:hAnsi="Arial" w:cs="Arial"/>
          <w:b/>
          <w:caps/>
          <w:sz w:val="20"/>
          <w:szCs w:val="20"/>
        </w:rPr>
        <w:t>)</w:t>
      </w:r>
    </w:p>
    <w:p w14:paraId="256B2B62" w14:textId="77777777" w:rsidR="00453A85" w:rsidRPr="0088338F" w:rsidRDefault="00453A85" w:rsidP="00453A85">
      <w:pPr>
        <w:jc w:val="both"/>
        <w:rPr>
          <w:rFonts w:ascii="Arial" w:hAnsi="Arial" w:cs="Arial"/>
          <w:sz w:val="20"/>
          <w:szCs w:val="20"/>
        </w:rPr>
      </w:pPr>
    </w:p>
    <w:bookmarkStart w:id="1243" w:name="_MON_1390891203"/>
    <w:bookmarkStart w:id="1244" w:name="_MON_1391948842"/>
    <w:bookmarkStart w:id="1245" w:name="_MON_1392638041"/>
    <w:bookmarkStart w:id="1246" w:name="_MON_1422087000"/>
    <w:bookmarkStart w:id="1247" w:name="_MON_1422253863"/>
    <w:bookmarkStart w:id="1248" w:name="_MON_1424165680"/>
    <w:bookmarkStart w:id="1249" w:name="_MON_1424165718"/>
    <w:bookmarkStart w:id="1250" w:name="_MON_1453638098"/>
    <w:bookmarkStart w:id="1251" w:name="_MON_1216575752"/>
    <w:bookmarkStart w:id="1252" w:name="_MON_1217334889"/>
    <w:bookmarkStart w:id="1253" w:name="_MON_1217334905"/>
    <w:bookmarkStart w:id="1254" w:name="_MON_1232008798"/>
    <w:bookmarkStart w:id="1255" w:name="_MON_1232525421"/>
    <w:bookmarkStart w:id="1256" w:name="_MON_1232549177"/>
    <w:bookmarkStart w:id="1257" w:name="_MON_1232827603"/>
    <w:bookmarkStart w:id="1258" w:name="_MON_1249395785"/>
    <w:bookmarkStart w:id="1259" w:name="_MON_1264103824"/>
    <w:bookmarkStart w:id="1260" w:name="_MON_1265096622"/>
    <w:bookmarkStart w:id="1261" w:name="_MON_1265096870"/>
    <w:bookmarkStart w:id="1262" w:name="_MON_1265096890"/>
    <w:bookmarkStart w:id="1263" w:name="_MON_1265177317"/>
    <w:bookmarkStart w:id="1264" w:name="_MON_1265644871"/>
    <w:bookmarkStart w:id="1265" w:name="_MON_1288368753"/>
    <w:bookmarkStart w:id="1266" w:name="_MON_1297076571"/>
    <w:bookmarkStart w:id="1267" w:name="_MON_1297076591"/>
    <w:bookmarkStart w:id="1268" w:name="_MON_1297078020"/>
    <w:bookmarkStart w:id="1269" w:name="_MON_1297166888"/>
    <w:bookmarkStart w:id="1270" w:name="_MON_1322815352"/>
    <w:bookmarkStart w:id="1271" w:name="_MON_1328706202"/>
    <w:bookmarkStart w:id="1272" w:name="_MON_1328710282"/>
    <w:bookmarkStart w:id="1273" w:name="_MON_1328710966"/>
    <w:bookmarkStart w:id="1274" w:name="_MON_1329564515"/>
    <w:bookmarkStart w:id="1275" w:name="_MON_1329636175"/>
    <w:bookmarkStart w:id="1276" w:name="_MON_1329899264"/>
    <w:bookmarkStart w:id="1277" w:name="_MON_1329977612"/>
    <w:bookmarkStart w:id="1278" w:name="_MON_1355236670"/>
    <w:bookmarkStart w:id="1279" w:name="_MON_1359361465"/>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Start w:id="1280" w:name="_MON_1389888896"/>
    <w:bookmarkEnd w:id="1280"/>
    <w:p w14:paraId="1B6C084D" w14:textId="2EACB590" w:rsidR="00755308" w:rsidRPr="0088338F" w:rsidRDefault="00ED4983" w:rsidP="003C18A9">
      <w:pPr>
        <w:jc w:val="both"/>
        <w:rPr>
          <w:rFonts w:ascii="Arial" w:hAnsi="Arial" w:cs="Arial"/>
        </w:rPr>
      </w:pPr>
      <w:r w:rsidRPr="0088338F">
        <w:rPr>
          <w:rFonts w:ascii="Arial" w:hAnsi="Arial" w:cs="Arial"/>
        </w:rPr>
        <w:object w:dxaOrig="9669" w:dyaOrig="1780" w14:anchorId="2C891226">
          <v:shape id="_x0000_i1062" type="#_x0000_t75" style="width:454.2pt;height:93pt" o:ole="" o:preferrelative="f">
            <v:imagedata r:id="rId102" o:title=""/>
            <o:lock v:ext="edit" aspectratio="f"/>
          </v:shape>
          <o:OLEObject Type="Embed" ProgID="Excel.Sheet.8" ShapeID="_x0000_i1062" DrawAspect="Content" ObjectID="_1551591563" r:id="rId103"/>
        </w:object>
      </w:r>
    </w:p>
    <w:p w14:paraId="1A872035" w14:textId="77777777" w:rsidR="00030ECB" w:rsidRPr="0088338F" w:rsidRDefault="00030ECB" w:rsidP="003C18A9">
      <w:pPr>
        <w:jc w:val="both"/>
        <w:rPr>
          <w:rFonts w:ascii="Arial" w:hAnsi="Arial" w:cs="Arial"/>
          <w:sz w:val="20"/>
          <w:szCs w:val="20"/>
        </w:rPr>
      </w:pPr>
    </w:p>
    <w:p w14:paraId="4CEB4780" w14:textId="77777777" w:rsidR="00454533" w:rsidRPr="0088338F" w:rsidRDefault="0000580E"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ODSÚHLASENIE</w:t>
      </w:r>
      <w:r w:rsidR="00454533" w:rsidRPr="0088338F">
        <w:rPr>
          <w:rFonts w:ascii="Arial" w:hAnsi="Arial" w:cs="Arial"/>
          <w:b/>
          <w:caps/>
          <w:sz w:val="20"/>
          <w:szCs w:val="20"/>
        </w:rPr>
        <w:t xml:space="preserve"> teoretickej a zaúčtovanej dan</w:t>
      </w:r>
      <w:r w:rsidR="00FA0314" w:rsidRPr="0088338F">
        <w:rPr>
          <w:rFonts w:ascii="Arial" w:hAnsi="Arial" w:cs="Arial"/>
          <w:b/>
          <w:caps/>
          <w:sz w:val="20"/>
          <w:szCs w:val="20"/>
        </w:rPr>
        <w:t>e</w:t>
      </w:r>
      <w:r w:rsidR="00454533" w:rsidRPr="0088338F">
        <w:rPr>
          <w:rFonts w:ascii="Arial" w:hAnsi="Arial" w:cs="Arial"/>
          <w:b/>
          <w:caps/>
          <w:sz w:val="20"/>
          <w:szCs w:val="20"/>
        </w:rPr>
        <w:t xml:space="preserve"> z príjmov</w:t>
      </w:r>
    </w:p>
    <w:p w14:paraId="7922E6D1" w14:textId="77777777" w:rsidR="00D243FC" w:rsidRPr="0088338F" w:rsidRDefault="00D243FC" w:rsidP="00D243FC">
      <w:pPr>
        <w:rPr>
          <w:rFonts w:ascii="Arial" w:hAnsi="Arial" w:cs="Arial"/>
          <w:sz w:val="20"/>
          <w:szCs w:val="20"/>
        </w:rPr>
      </w:pPr>
    </w:p>
    <w:bookmarkStart w:id="1281" w:name="_MON_1455022194"/>
    <w:bookmarkEnd w:id="1281"/>
    <w:p w14:paraId="4AFDE0A7" w14:textId="579DC96A" w:rsidR="00FA7776" w:rsidRPr="0088338F" w:rsidRDefault="0088338F" w:rsidP="00D243FC">
      <w:pPr>
        <w:rPr>
          <w:rFonts w:ascii="Arial" w:hAnsi="Arial" w:cs="Arial"/>
          <w:sz w:val="20"/>
          <w:szCs w:val="20"/>
        </w:rPr>
      </w:pPr>
      <w:r w:rsidRPr="0088338F">
        <w:rPr>
          <w:rFonts w:ascii="Arial" w:hAnsi="Arial" w:cs="Arial"/>
        </w:rPr>
        <w:object w:dxaOrig="9916" w:dyaOrig="4325" w14:anchorId="218A0649">
          <v:shape id="_x0000_i1063" type="#_x0000_t75" style="width:453pt;height:212.4pt" o:ole="" o:preferrelative="f">
            <v:imagedata r:id="rId104" o:title=""/>
            <o:lock v:ext="edit" aspectratio="f"/>
          </v:shape>
          <o:OLEObject Type="Embed" ProgID="Excel.Sheet.8" ShapeID="_x0000_i1063" DrawAspect="Content" ObjectID="_1551591564" r:id="rId105"/>
        </w:object>
      </w:r>
    </w:p>
    <w:p w14:paraId="08A042E9" w14:textId="0E52AD96" w:rsidR="006D597E" w:rsidRPr="0088338F" w:rsidRDefault="00F51246" w:rsidP="003C18A9">
      <w:pPr>
        <w:jc w:val="both"/>
        <w:rPr>
          <w:rFonts w:ascii="Arial" w:hAnsi="Arial" w:cs="Arial"/>
        </w:rPr>
      </w:pPr>
      <w:r w:rsidRPr="0088338F">
        <w:rPr>
          <w:rFonts w:ascii="Arial" w:hAnsi="Arial" w:cs="Arial"/>
        </w:rPr>
        <w:br w:type="page"/>
      </w:r>
      <w:r w:rsidR="00C43215" w:rsidRPr="0088338F">
        <w:rPr>
          <w:rFonts w:ascii="Arial" w:hAnsi="Arial" w:cs="Arial"/>
        </w:rPr>
        <w:object w:dxaOrig="9909" w:dyaOrig="4262" w14:anchorId="610B6C9D">
          <v:shape id="_x0000_i1064" type="#_x0000_t75" style="width:452.4pt;height:209.4pt" o:ole="" o:preferrelative="f">
            <v:imagedata r:id="rId106" o:title=""/>
            <o:lock v:ext="edit" aspectratio="f"/>
          </v:shape>
          <o:OLEObject Type="Embed" ProgID="Excel.Sheet.8" ShapeID="_x0000_i1064" DrawAspect="Content" ObjectID="_1551591565" r:id="rId107"/>
        </w:object>
      </w:r>
    </w:p>
    <w:p w14:paraId="0CF9565F" w14:textId="77777777" w:rsidR="00C43215" w:rsidRPr="0088338F" w:rsidRDefault="00C43215" w:rsidP="003C18A9">
      <w:pPr>
        <w:jc w:val="both"/>
        <w:rPr>
          <w:rFonts w:ascii="Arial" w:hAnsi="Arial" w:cs="Arial"/>
          <w:sz w:val="20"/>
          <w:szCs w:val="20"/>
        </w:rPr>
      </w:pPr>
    </w:p>
    <w:p w14:paraId="073388C4" w14:textId="77777777" w:rsidR="00B53ED8" w:rsidRPr="0088338F" w:rsidRDefault="00B53ED8" w:rsidP="003C18A9">
      <w:pPr>
        <w:jc w:val="both"/>
        <w:rPr>
          <w:rFonts w:ascii="Arial" w:hAnsi="Arial" w:cs="Arial"/>
          <w:sz w:val="20"/>
          <w:szCs w:val="20"/>
        </w:rPr>
      </w:pPr>
    </w:p>
    <w:p w14:paraId="5F126972" w14:textId="77777777" w:rsidR="00D6133E" w:rsidRPr="0088338F" w:rsidRDefault="00D6133E"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podsúvahové položky</w:t>
      </w:r>
    </w:p>
    <w:p w14:paraId="606414A0" w14:textId="77777777" w:rsidR="00D6133E" w:rsidRPr="0088338F" w:rsidRDefault="00D6133E" w:rsidP="003C18A9">
      <w:pPr>
        <w:jc w:val="both"/>
        <w:rPr>
          <w:rFonts w:ascii="Arial" w:hAnsi="Arial" w:cs="Arial"/>
          <w:sz w:val="20"/>
          <w:szCs w:val="20"/>
        </w:rPr>
      </w:pPr>
    </w:p>
    <w:bookmarkStart w:id="1282" w:name="_MON_1328422123"/>
    <w:bookmarkStart w:id="1283" w:name="_MON_1328422216"/>
    <w:bookmarkStart w:id="1284" w:name="_MON_1328528375"/>
    <w:bookmarkStart w:id="1285" w:name="_MON_1329565853"/>
    <w:bookmarkStart w:id="1286" w:name="_MON_1329565870"/>
    <w:bookmarkStart w:id="1287" w:name="_MON_1355236730"/>
    <w:bookmarkStart w:id="1288" w:name="_MON_1359136937"/>
    <w:bookmarkStart w:id="1289" w:name="_MON_1359361930"/>
    <w:bookmarkStart w:id="1290" w:name="_MON_1359371098"/>
    <w:bookmarkStart w:id="1291" w:name="_MON_1359371177"/>
    <w:bookmarkStart w:id="1292" w:name="_MON_1359458698"/>
    <w:bookmarkStart w:id="1293" w:name="_MON_1359461718"/>
    <w:bookmarkStart w:id="1294" w:name="_MON_1359462869"/>
    <w:bookmarkStart w:id="1295" w:name="_MON_1389888968"/>
    <w:bookmarkStart w:id="1296" w:name="_MON_1390627566"/>
    <w:bookmarkStart w:id="1297" w:name="_MON_1390891608"/>
    <w:bookmarkStart w:id="1298" w:name="_MON_1390988603"/>
    <w:bookmarkStart w:id="1299" w:name="_MON_1391950125"/>
    <w:bookmarkStart w:id="1300" w:name="_MON_1422092938"/>
    <w:bookmarkStart w:id="1301" w:name="_MON_1424167606"/>
    <w:bookmarkStart w:id="1302" w:name="_MON_1453638200"/>
    <w:bookmarkStart w:id="1303" w:name="_MON_1453638322"/>
    <w:bookmarkStart w:id="1304" w:name="_MON_1453806174"/>
    <w:bookmarkStart w:id="1305" w:name="_MON_1456741573"/>
    <w:bookmarkStart w:id="1306" w:name="_MON_1458647875"/>
    <w:bookmarkStart w:id="1307" w:name="_MON_1458648964"/>
    <w:bookmarkStart w:id="1308" w:name="_MON_1458649042"/>
    <w:bookmarkStart w:id="1309" w:name="_MON_1459064350"/>
    <w:bookmarkStart w:id="1310" w:name="_MON_1461477676"/>
    <w:bookmarkStart w:id="1311" w:name="_MON_1466429282"/>
    <w:bookmarkStart w:id="1312" w:name="_MON_1466430148"/>
    <w:bookmarkStart w:id="1313" w:name="_MON_1466430211"/>
    <w:bookmarkStart w:id="1314" w:name="_MON_1217104973"/>
    <w:bookmarkStart w:id="1315" w:name="_MON_1217335642"/>
    <w:bookmarkStart w:id="1316" w:name="_MON_1217335677"/>
    <w:bookmarkStart w:id="1317" w:name="_MON_1217335826"/>
    <w:bookmarkStart w:id="1318" w:name="_MON_1217688183"/>
    <w:bookmarkStart w:id="1319" w:name="_MON_1217688649"/>
    <w:bookmarkStart w:id="1320" w:name="_MON_1217688835"/>
    <w:bookmarkStart w:id="1321" w:name="_MON_1217689106"/>
    <w:bookmarkStart w:id="1322" w:name="_MON_1217689171"/>
    <w:bookmarkStart w:id="1323" w:name="_MON_1217690170"/>
    <w:bookmarkStart w:id="1324" w:name="_MON_1232009150"/>
    <w:bookmarkStart w:id="1325" w:name="_MON_1232009170"/>
    <w:bookmarkStart w:id="1326" w:name="_MON_1249395934"/>
    <w:bookmarkStart w:id="1327" w:name="_MON_1249396021"/>
    <w:bookmarkStart w:id="1328" w:name="_MON_1249583668"/>
    <w:bookmarkStart w:id="1329" w:name="_MON_1264107982"/>
    <w:bookmarkStart w:id="1330" w:name="_MON_1264108165"/>
    <w:bookmarkStart w:id="1331" w:name="_MON_1264157737"/>
    <w:bookmarkStart w:id="1332" w:name="_MON_1265645200"/>
    <w:bookmarkStart w:id="1333" w:name="_MON_1265645390"/>
    <w:bookmarkStart w:id="1334" w:name="_MON_1265725393"/>
    <w:bookmarkStart w:id="1335" w:name="_MON_1265725507"/>
    <w:bookmarkStart w:id="1336" w:name="_MON_1266496191"/>
    <w:bookmarkStart w:id="1337" w:name="_MON_1288368808"/>
    <w:bookmarkStart w:id="1338" w:name="_MON_1288368863"/>
    <w:bookmarkStart w:id="1339" w:name="_MON_1296808489"/>
    <w:bookmarkStart w:id="1340" w:name="_MON_1296808550"/>
    <w:bookmarkStart w:id="1341" w:name="_MON_1296922372"/>
    <w:bookmarkStart w:id="1342" w:name="_MON_1322815659"/>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Start w:id="1343" w:name="_MON_1328421782"/>
    <w:bookmarkEnd w:id="1343"/>
    <w:p w14:paraId="7A7832A3" w14:textId="3F4984CB" w:rsidR="00FA2B72" w:rsidRPr="0088338F" w:rsidRDefault="009C0678" w:rsidP="003C18A9">
      <w:pPr>
        <w:jc w:val="both"/>
        <w:rPr>
          <w:rFonts w:ascii="Arial" w:hAnsi="Arial" w:cs="Arial"/>
        </w:rPr>
      </w:pPr>
      <w:r w:rsidRPr="0088338F">
        <w:rPr>
          <w:rFonts w:ascii="Arial" w:hAnsi="Arial" w:cs="Arial"/>
        </w:rPr>
        <w:object w:dxaOrig="9669" w:dyaOrig="2768" w14:anchorId="391F15CF">
          <v:shape id="_x0000_i1065" type="#_x0000_t75" style="width:450.6pt;height:138pt" o:ole="" o:preferrelative="f">
            <v:imagedata r:id="rId108" o:title=""/>
            <o:lock v:ext="edit" aspectratio="f"/>
          </v:shape>
          <o:OLEObject Type="Embed" ProgID="Excel.Sheet.8" ShapeID="_x0000_i1065" DrawAspect="Content" ObjectID="_1551591566" r:id="rId109"/>
        </w:object>
      </w:r>
    </w:p>
    <w:p w14:paraId="703B825C" w14:textId="77777777" w:rsidR="00030ECB" w:rsidRPr="0088338F" w:rsidRDefault="00030ECB" w:rsidP="003C18A9">
      <w:pPr>
        <w:jc w:val="both"/>
        <w:rPr>
          <w:rFonts w:ascii="Arial" w:hAnsi="Arial" w:cs="Arial"/>
          <w:sz w:val="20"/>
          <w:szCs w:val="20"/>
        </w:rPr>
      </w:pPr>
    </w:p>
    <w:bookmarkStart w:id="1344" w:name="_MON_1359362115"/>
    <w:bookmarkStart w:id="1345" w:name="_MON_1359362361"/>
    <w:bookmarkStart w:id="1346" w:name="_MON_1359362399"/>
    <w:bookmarkStart w:id="1347" w:name="_MON_1359362423"/>
    <w:bookmarkStart w:id="1348" w:name="_MON_1359369964"/>
    <w:bookmarkStart w:id="1349" w:name="_MON_1359383598"/>
    <w:bookmarkStart w:id="1350" w:name="_MON_1359383757"/>
    <w:bookmarkStart w:id="1351" w:name="_MON_1359458711"/>
    <w:bookmarkStart w:id="1352" w:name="_MON_1359461702"/>
    <w:bookmarkStart w:id="1353" w:name="_MON_1359461800"/>
    <w:bookmarkStart w:id="1354" w:name="_MON_1389889027"/>
    <w:bookmarkStart w:id="1355" w:name="_MON_1390627656"/>
    <w:bookmarkStart w:id="1356" w:name="_MON_1390891625"/>
    <w:bookmarkStart w:id="1357" w:name="_MON_1391950148"/>
    <w:bookmarkStart w:id="1358" w:name="_MON_1422093050"/>
    <w:bookmarkStart w:id="1359" w:name="_MON_1422338283"/>
    <w:bookmarkStart w:id="1360" w:name="_MON_1453638251"/>
    <w:bookmarkStart w:id="1361" w:name="_MON_1453638362"/>
    <w:bookmarkStart w:id="1362" w:name="_MON_1454308378"/>
    <w:bookmarkStart w:id="1363" w:name="_MON_1456741633"/>
    <w:bookmarkStart w:id="1364" w:name="_MON_1458648072"/>
    <w:bookmarkStart w:id="1365" w:name="_MON_1458648244"/>
    <w:bookmarkStart w:id="1366" w:name="_MON_1458648403"/>
    <w:bookmarkStart w:id="1367" w:name="_MON_1458648999"/>
    <w:bookmarkStart w:id="1368" w:name="_MON_1458649036"/>
    <w:bookmarkStart w:id="1369" w:name="_MON_1458976754"/>
    <w:bookmarkStart w:id="1370" w:name="_MON_1461477694"/>
    <w:bookmarkStart w:id="1371" w:name="_MON_1466429409"/>
    <w:bookmarkStart w:id="1372" w:name="_MON_1466430182"/>
    <w:bookmarkStart w:id="1373" w:name="_MON_1466430232"/>
    <w:bookmarkStart w:id="1374" w:name="_MON_1217105800"/>
    <w:bookmarkStart w:id="1375" w:name="_MON_1217335660"/>
    <w:bookmarkStart w:id="1376" w:name="_MON_1217336264"/>
    <w:bookmarkStart w:id="1377" w:name="_MON_1217688504"/>
    <w:bookmarkStart w:id="1378" w:name="_MON_1217688761"/>
    <w:bookmarkStart w:id="1379" w:name="_MON_1217688853"/>
    <w:bookmarkStart w:id="1380" w:name="_MON_1217689139"/>
    <w:bookmarkStart w:id="1381" w:name="_MON_1217689279"/>
    <w:bookmarkStart w:id="1382" w:name="_MON_1217689523"/>
    <w:bookmarkStart w:id="1383" w:name="_MON_1217690119"/>
    <w:bookmarkStart w:id="1384" w:name="_MON_1217690210"/>
    <w:bookmarkStart w:id="1385" w:name="_MON_1217690226"/>
    <w:bookmarkStart w:id="1386" w:name="_MON_1232009229"/>
    <w:bookmarkStart w:id="1387" w:name="_MON_1249395968"/>
    <w:bookmarkStart w:id="1388" w:name="_MON_1249583800"/>
    <w:bookmarkStart w:id="1389" w:name="_MON_1264108089"/>
    <w:bookmarkStart w:id="1390" w:name="_MON_1265645067"/>
    <w:bookmarkStart w:id="1391" w:name="_MON_1265645181"/>
    <w:bookmarkStart w:id="1392" w:name="_MON_1265725563"/>
    <w:bookmarkStart w:id="1393" w:name="_MON_1265725792"/>
    <w:bookmarkStart w:id="1394" w:name="_MON_1266496221"/>
    <w:bookmarkStart w:id="1395" w:name="_MON_1288368906"/>
    <w:bookmarkStart w:id="1396" w:name="_MON_1296808558"/>
    <w:bookmarkStart w:id="1397" w:name="_MON_1296922792"/>
    <w:bookmarkStart w:id="1398" w:name="_MON_1296922814"/>
    <w:bookmarkStart w:id="1399" w:name="_MON_1296923071"/>
    <w:bookmarkStart w:id="1400" w:name="_MON_1322815788"/>
    <w:bookmarkStart w:id="1401" w:name="_MON_1328421990"/>
    <w:bookmarkStart w:id="1402" w:name="_MON_1328528389"/>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Start w:id="1403" w:name="_MON_1355236793"/>
    <w:bookmarkEnd w:id="1403"/>
    <w:p w14:paraId="3604FA09" w14:textId="47F22E5E" w:rsidR="0034313C" w:rsidRPr="0088338F" w:rsidRDefault="00590C36" w:rsidP="003C18A9">
      <w:pPr>
        <w:jc w:val="both"/>
        <w:rPr>
          <w:rFonts w:ascii="Arial" w:hAnsi="Arial" w:cs="Arial"/>
          <w:sz w:val="20"/>
          <w:szCs w:val="20"/>
        </w:rPr>
      </w:pPr>
      <w:r w:rsidRPr="0088338F">
        <w:rPr>
          <w:rFonts w:ascii="Arial" w:hAnsi="Arial" w:cs="Arial"/>
        </w:rPr>
        <w:object w:dxaOrig="9669" w:dyaOrig="2768" w14:anchorId="0616F73F">
          <v:shape id="_x0000_i1066" type="#_x0000_t75" style="width:450.6pt;height:142.8pt" o:ole="" o:preferrelative="f">
            <v:imagedata r:id="rId110" o:title=""/>
            <o:lock v:ext="edit" aspectratio="f"/>
          </v:shape>
          <o:OLEObject Type="Embed" ProgID="Excel.Sheet.8" ShapeID="_x0000_i1066" DrawAspect="Content" ObjectID="_1551591567" r:id="rId111"/>
        </w:object>
      </w:r>
    </w:p>
    <w:p w14:paraId="77F8F36C" w14:textId="77777777" w:rsidR="007D7576" w:rsidRPr="0088338F" w:rsidRDefault="007D7576" w:rsidP="003C18A9">
      <w:pPr>
        <w:jc w:val="both"/>
        <w:rPr>
          <w:rFonts w:ascii="Arial" w:hAnsi="Arial" w:cs="Arial"/>
          <w:sz w:val="20"/>
          <w:szCs w:val="20"/>
        </w:rPr>
      </w:pPr>
    </w:p>
    <w:p w14:paraId="249F735E" w14:textId="0B900F6F" w:rsidR="00D82D94" w:rsidRPr="0088338F" w:rsidRDefault="006A63D7" w:rsidP="003C18A9">
      <w:pPr>
        <w:jc w:val="both"/>
        <w:rPr>
          <w:rFonts w:ascii="Arial" w:hAnsi="Arial" w:cs="Arial"/>
          <w:sz w:val="20"/>
          <w:szCs w:val="20"/>
        </w:rPr>
      </w:pPr>
      <w:r w:rsidRPr="0088338F">
        <w:rPr>
          <w:rFonts w:ascii="Arial" w:hAnsi="Arial" w:cs="Arial"/>
          <w:sz w:val="20"/>
          <w:szCs w:val="20"/>
        </w:rPr>
        <w:t>Celý objem nevyčerpaných úverových rámcov a vydaných záruk v rokoch 201</w:t>
      </w:r>
      <w:r w:rsidR="00C43215" w:rsidRPr="0088338F">
        <w:rPr>
          <w:rFonts w:ascii="Arial" w:hAnsi="Arial" w:cs="Arial"/>
          <w:sz w:val="20"/>
          <w:szCs w:val="20"/>
        </w:rPr>
        <w:t>6</w:t>
      </w:r>
      <w:r w:rsidRPr="0088338F">
        <w:rPr>
          <w:rFonts w:ascii="Arial" w:hAnsi="Arial" w:cs="Arial"/>
          <w:sz w:val="20"/>
          <w:szCs w:val="20"/>
        </w:rPr>
        <w:t xml:space="preserve"> a 201</w:t>
      </w:r>
      <w:r w:rsidR="00C43215" w:rsidRPr="0088338F">
        <w:rPr>
          <w:rFonts w:ascii="Arial" w:hAnsi="Arial" w:cs="Arial"/>
          <w:sz w:val="20"/>
          <w:szCs w:val="20"/>
        </w:rPr>
        <w:t>5</w:t>
      </w:r>
      <w:r w:rsidRPr="0088338F">
        <w:rPr>
          <w:rFonts w:ascii="Arial" w:hAnsi="Arial" w:cs="Arial"/>
          <w:sz w:val="20"/>
          <w:szCs w:val="20"/>
        </w:rPr>
        <w:t xml:space="preserve"> predstavuje neodvolate</w:t>
      </w:r>
      <w:r w:rsidR="00F13E3B" w:rsidRPr="0088338F">
        <w:rPr>
          <w:rFonts w:ascii="Arial" w:hAnsi="Arial" w:cs="Arial"/>
          <w:sz w:val="20"/>
          <w:szCs w:val="20"/>
        </w:rPr>
        <w:t>ľ</w:t>
      </w:r>
      <w:r w:rsidRPr="0088338F">
        <w:rPr>
          <w:rFonts w:ascii="Arial" w:hAnsi="Arial" w:cs="Arial"/>
          <w:sz w:val="20"/>
          <w:szCs w:val="20"/>
        </w:rPr>
        <w:t>ný záväzok.</w:t>
      </w:r>
    </w:p>
    <w:p w14:paraId="14199DD1" w14:textId="77777777" w:rsidR="008602FF" w:rsidRPr="0088338F" w:rsidRDefault="008602FF" w:rsidP="003C18A9">
      <w:pPr>
        <w:jc w:val="both"/>
        <w:rPr>
          <w:rFonts w:ascii="Arial" w:hAnsi="Arial" w:cs="Arial"/>
          <w:sz w:val="20"/>
          <w:szCs w:val="20"/>
        </w:rPr>
      </w:pPr>
    </w:p>
    <w:p w14:paraId="35C80509" w14:textId="77777777" w:rsidR="008602FF" w:rsidRPr="0088338F" w:rsidRDefault="008602FF" w:rsidP="003C18A9">
      <w:pPr>
        <w:jc w:val="both"/>
        <w:rPr>
          <w:rFonts w:ascii="Arial" w:hAnsi="Arial" w:cs="Arial"/>
          <w:sz w:val="20"/>
          <w:szCs w:val="20"/>
        </w:rPr>
      </w:pPr>
    </w:p>
    <w:p w14:paraId="55760741" w14:textId="77777777" w:rsidR="00425DAE" w:rsidRPr="0088338F" w:rsidRDefault="00F51246"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br w:type="page"/>
      </w:r>
      <w:r w:rsidR="00425DAE" w:rsidRPr="0088338F">
        <w:rPr>
          <w:rFonts w:ascii="Arial" w:hAnsi="Arial" w:cs="Arial"/>
          <w:b/>
          <w:caps/>
          <w:sz w:val="20"/>
          <w:szCs w:val="20"/>
        </w:rPr>
        <w:lastRenderedPageBreak/>
        <w:t>finančné deriváty</w:t>
      </w:r>
    </w:p>
    <w:p w14:paraId="2C01326A" w14:textId="77777777" w:rsidR="006055DE" w:rsidRPr="0088338F" w:rsidRDefault="006055DE" w:rsidP="00425DAE">
      <w:pPr>
        <w:jc w:val="both"/>
        <w:rPr>
          <w:rFonts w:ascii="Arial" w:hAnsi="Arial" w:cs="Arial"/>
          <w:sz w:val="20"/>
          <w:szCs w:val="20"/>
        </w:rPr>
      </w:pPr>
    </w:p>
    <w:p w14:paraId="44F7D244" w14:textId="77777777" w:rsidR="000F7BA4" w:rsidRPr="0088338F" w:rsidRDefault="000F7BA4" w:rsidP="000F7BA4">
      <w:pPr>
        <w:jc w:val="both"/>
        <w:rPr>
          <w:rFonts w:ascii="Arial" w:hAnsi="Arial" w:cs="Arial"/>
          <w:sz w:val="20"/>
          <w:szCs w:val="20"/>
        </w:rPr>
      </w:pPr>
      <w:r w:rsidRPr="0088338F">
        <w:rPr>
          <w:rFonts w:ascii="Arial" w:hAnsi="Arial" w:cs="Arial"/>
          <w:sz w:val="20"/>
          <w:szCs w:val="20"/>
        </w:rPr>
        <w:t>V bežnej obchodnej činnosti banka uskutočňuje transakcie s finančnými derivátmi na riadenie svojej likvidity, úrokového a devízového rizika.</w:t>
      </w:r>
    </w:p>
    <w:p w14:paraId="724A58A9" w14:textId="77777777" w:rsidR="000F7BA4" w:rsidRPr="0088338F" w:rsidRDefault="000F7BA4" w:rsidP="000F7BA4">
      <w:pPr>
        <w:jc w:val="both"/>
        <w:rPr>
          <w:rFonts w:ascii="Arial" w:hAnsi="Arial" w:cs="Arial"/>
          <w:sz w:val="20"/>
          <w:szCs w:val="20"/>
        </w:rPr>
      </w:pPr>
    </w:p>
    <w:bookmarkStart w:id="1404" w:name="_MON_1458716399"/>
    <w:bookmarkStart w:id="1405" w:name="_MON_1458716500"/>
    <w:bookmarkStart w:id="1406" w:name="_MON_1458717090"/>
    <w:bookmarkStart w:id="1407" w:name="_MON_1458717320"/>
    <w:bookmarkStart w:id="1408" w:name="_MON_1459064390"/>
    <w:bookmarkStart w:id="1409" w:name="_MON_1458715883"/>
    <w:bookmarkEnd w:id="1404"/>
    <w:bookmarkEnd w:id="1405"/>
    <w:bookmarkEnd w:id="1406"/>
    <w:bookmarkEnd w:id="1407"/>
    <w:bookmarkEnd w:id="1408"/>
    <w:bookmarkEnd w:id="1409"/>
    <w:bookmarkStart w:id="1410" w:name="_MON_1458716093"/>
    <w:bookmarkEnd w:id="1410"/>
    <w:p w14:paraId="2938430F" w14:textId="6A84B99F" w:rsidR="00696951" w:rsidRPr="0088338F" w:rsidRDefault="00BC7816" w:rsidP="00425DAE">
      <w:pPr>
        <w:jc w:val="both"/>
        <w:rPr>
          <w:rFonts w:ascii="Arial" w:hAnsi="Arial" w:cs="Arial"/>
          <w:sz w:val="20"/>
        </w:rPr>
      </w:pPr>
      <w:r w:rsidRPr="0088338F">
        <w:rPr>
          <w:rFonts w:ascii="Arial" w:hAnsi="Arial" w:cs="Arial"/>
        </w:rPr>
        <w:object w:dxaOrig="10567" w:dyaOrig="2768" w14:anchorId="4163F386">
          <v:shape id="_x0000_i1067" type="#_x0000_t75" style="width:456.6pt;height:141.6pt" o:ole="" o:preferrelative="f">
            <v:imagedata r:id="rId112" o:title=""/>
            <o:lock v:ext="edit" aspectratio="f"/>
          </v:shape>
          <o:OLEObject Type="Embed" ProgID="Excel.Sheet.8" ShapeID="_x0000_i1067" DrawAspect="Content" ObjectID="_1551591568" r:id="rId113"/>
        </w:object>
      </w:r>
    </w:p>
    <w:p w14:paraId="6E714D12" w14:textId="0920F6CC" w:rsidR="0004428A" w:rsidRPr="0088338F" w:rsidRDefault="00297D25" w:rsidP="00425DAE">
      <w:pPr>
        <w:jc w:val="both"/>
        <w:rPr>
          <w:rFonts w:ascii="Arial" w:hAnsi="Arial" w:cs="Arial"/>
          <w:sz w:val="20"/>
          <w:szCs w:val="20"/>
        </w:rPr>
      </w:pPr>
      <w:r w:rsidRPr="0088338F">
        <w:rPr>
          <w:rFonts w:ascii="Arial" w:hAnsi="Arial" w:cs="Arial"/>
        </w:rPr>
        <w:object w:dxaOrig="10567" w:dyaOrig="3015" w14:anchorId="719F58DC">
          <v:shape id="_x0000_i1068" type="#_x0000_t75" style="width:456.6pt;height:153pt" o:ole="" o:preferrelative="f">
            <v:imagedata r:id="rId114" o:title=""/>
            <o:lock v:ext="edit" aspectratio="f"/>
          </v:shape>
          <o:OLEObject Type="Embed" ProgID="Excel.Sheet.8" ShapeID="_x0000_i1068" DrawAspect="Content" ObjectID="_1551591569" r:id="rId115"/>
        </w:object>
      </w:r>
    </w:p>
    <w:p w14:paraId="0BA69557" w14:textId="6395BE24" w:rsidR="00EC5F17" w:rsidRPr="0088338F" w:rsidRDefault="00EC5F17" w:rsidP="00EC5F17">
      <w:pPr>
        <w:jc w:val="both"/>
        <w:rPr>
          <w:rFonts w:ascii="Arial" w:hAnsi="Arial" w:cs="Arial"/>
          <w:sz w:val="20"/>
        </w:rPr>
      </w:pPr>
      <w:r w:rsidRPr="0088338F">
        <w:rPr>
          <w:rFonts w:ascii="Arial" w:hAnsi="Arial" w:cs="Arial"/>
          <w:sz w:val="20"/>
        </w:rPr>
        <w:t>Kladná reálna hodnota derivátov k 31. dec</w:t>
      </w:r>
      <w:r w:rsidRPr="0088338F">
        <w:rPr>
          <w:rFonts w:ascii="Arial" w:hAnsi="Arial" w:cs="Arial"/>
          <w:sz w:val="20"/>
          <w:szCs w:val="20"/>
        </w:rPr>
        <w:t>embru</w:t>
      </w:r>
      <w:r w:rsidRPr="0088338F">
        <w:rPr>
          <w:rFonts w:ascii="Arial" w:hAnsi="Arial" w:cs="Arial"/>
          <w:sz w:val="20"/>
        </w:rPr>
        <w:t xml:space="preserve"> 201</w:t>
      </w:r>
      <w:r w:rsidR="00297D25" w:rsidRPr="0088338F">
        <w:rPr>
          <w:rFonts w:ascii="Arial" w:hAnsi="Arial" w:cs="Arial"/>
          <w:sz w:val="20"/>
        </w:rPr>
        <w:t>6</w:t>
      </w:r>
      <w:r w:rsidRPr="0088338F">
        <w:rPr>
          <w:rFonts w:ascii="Arial" w:hAnsi="Arial" w:cs="Arial"/>
          <w:sz w:val="20"/>
        </w:rPr>
        <w:t xml:space="preserve"> v objeme </w:t>
      </w:r>
      <w:r w:rsidR="000E0314" w:rsidRPr="0088338F">
        <w:rPr>
          <w:rFonts w:ascii="Arial" w:hAnsi="Arial" w:cs="Arial"/>
          <w:sz w:val="20"/>
        </w:rPr>
        <w:t>19</w:t>
      </w:r>
      <w:r w:rsidRPr="0088338F">
        <w:rPr>
          <w:rFonts w:ascii="Arial" w:hAnsi="Arial" w:cs="Arial"/>
          <w:sz w:val="20"/>
        </w:rPr>
        <w:t xml:space="preserve"> tis. EUR (31.12.201</w:t>
      </w:r>
      <w:r w:rsidR="00297D25" w:rsidRPr="0088338F">
        <w:rPr>
          <w:rFonts w:ascii="Arial" w:hAnsi="Arial" w:cs="Arial"/>
          <w:sz w:val="20"/>
        </w:rPr>
        <w:t>5</w:t>
      </w:r>
      <w:r w:rsidRPr="0088338F">
        <w:rPr>
          <w:rFonts w:ascii="Arial" w:hAnsi="Arial" w:cs="Arial"/>
          <w:sz w:val="20"/>
        </w:rPr>
        <w:t xml:space="preserve">: </w:t>
      </w:r>
      <w:r w:rsidR="00297D25" w:rsidRPr="0088338F">
        <w:rPr>
          <w:rFonts w:ascii="Arial" w:hAnsi="Arial" w:cs="Arial"/>
          <w:sz w:val="20"/>
        </w:rPr>
        <w:t>28</w:t>
      </w:r>
      <w:r w:rsidRPr="0088338F">
        <w:rPr>
          <w:rFonts w:ascii="Arial" w:hAnsi="Arial" w:cs="Arial"/>
          <w:sz w:val="20"/>
        </w:rPr>
        <w:t xml:space="preserve"> tis. EUR) je vykázaná v položke „Ostatné aktíva“ (pozn. 14). Záporná reálna hodnota derivátov k 31. dec</w:t>
      </w:r>
      <w:r w:rsidRPr="0088338F">
        <w:rPr>
          <w:rFonts w:ascii="Arial" w:hAnsi="Arial" w:cs="Arial"/>
          <w:sz w:val="20"/>
          <w:szCs w:val="20"/>
        </w:rPr>
        <w:t>embru</w:t>
      </w:r>
      <w:r w:rsidRPr="0088338F">
        <w:rPr>
          <w:rFonts w:ascii="Arial" w:hAnsi="Arial" w:cs="Arial"/>
          <w:sz w:val="20"/>
        </w:rPr>
        <w:t xml:space="preserve"> 201</w:t>
      </w:r>
      <w:r w:rsidR="00297D25" w:rsidRPr="0088338F">
        <w:rPr>
          <w:rFonts w:ascii="Arial" w:hAnsi="Arial" w:cs="Arial"/>
          <w:sz w:val="20"/>
        </w:rPr>
        <w:t>6</w:t>
      </w:r>
      <w:r w:rsidRPr="0088338F">
        <w:rPr>
          <w:rFonts w:ascii="Arial" w:hAnsi="Arial" w:cs="Arial"/>
          <w:sz w:val="20"/>
        </w:rPr>
        <w:t xml:space="preserve"> vo výške </w:t>
      </w:r>
      <w:r w:rsidR="000E0314" w:rsidRPr="0088338F">
        <w:rPr>
          <w:rFonts w:ascii="Arial" w:hAnsi="Arial" w:cs="Arial"/>
          <w:sz w:val="20"/>
        </w:rPr>
        <w:t>378</w:t>
      </w:r>
      <w:r w:rsidRPr="0088338F">
        <w:rPr>
          <w:rFonts w:ascii="Arial" w:hAnsi="Arial" w:cs="Arial"/>
          <w:sz w:val="20"/>
        </w:rPr>
        <w:t xml:space="preserve"> tis. EUR (31.12.201</w:t>
      </w:r>
      <w:r w:rsidR="00297D25" w:rsidRPr="0088338F">
        <w:rPr>
          <w:rFonts w:ascii="Arial" w:hAnsi="Arial" w:cs="Arial"/>
          <w:sz w:val="20"/>
        </w:rPr>
        <w:t>5</w:t>
      </w:r>
      <w:r w:rsidRPr="0088338F">
        <w:rPr>
          <w:rFonts w:ascii="Arial" w:hAnsi="Arial" w:cs="Arial"/>
          <w:sz w:val="20"/>
        </w:rPr>
        <w:t xml:space="preserve">: </w:t>
      </w:r>
      <w:r w:rsidR="00297D25" w:rsidRPr="0088338F">
        <w:rPr>
          <w:rFonts w:ascii="Arial" w:hAnsi="Arial" w:cs="Arial"/>
          <w:sz w:val="20"/>
        </w:rPr>
        <w:t>518</w:t>
      </w:r>
      <w:r w:rsidRPr="0088338F">
        <w:rPr>
          <w:rFonts w:ascii="Arial" w:hAnsi="Arial" w:cs="Arial"/>
          <w:sz w:val="20"/>
        </w:rPr>
        <w:t xml:space="preserve"> tis. EUR) je vykázaná v položke „Ostatné záväzky“ (pozn. 19).</w:t>
      </w:r>
    </w:p>
    <w:p w14:paraId="10BBF05E" w14:textId="77777777" w:rsidR="007E6C2F" w:rsidRPr="0088338F" w:rsidRDefault="007E6C2F" w:rsidP="00425DAE">
      <w:pPr>
        <w:jc w:val="both"/>
        <w:rPr>
          <w:rFonts w:ascii="Arial" w:hAnsi="Arial" w:cs="Arial"/>
          <w:sz w:val="20"/>
          <w:szCs w:val="20"/>
        </w:rPr>
      </w:pPr>
    </w:p>
    <w:p w14:paraId="6AA8A48F" w14:textId="77777777" w:rsidR="008E6838" w:rsidRPr="0088338F" w:rsidRDefault="008E6838">
      <w:pPr>
        <w:rPr>
          <w:rFonts w:ascii="Arial" w:hAnsi="Arial" w:cs="Arial"/>
          <w:sz w:val="20"/>
          <w:szCs w:val="20"/>
        </w:rPr>
      </w:pPr>
      <w:r w:rsidRPr="0088338F">
        <w:rPr>
          <w:rFonts w:ascii="Arial" w:hAnsi="Arial" w:cs="Arial"/>
          <w:sz w:val="20"/>
          <w:szCs w:val="20"/>
        </w:rPr>
        <w:br w:type="page"/>
      </w:r>
    </w:p>
    <w:p w14:paraId="1500FDC0" w14:textId="732B9965" w:rsidR="00045812" w:rsidRPr="0088338F" w:rsidRDefault="00045812" w:rsidP="00045812">
      <w:pPr>
        <w:jc w:val="both"/>
        <w:rPr>
          <w:rFonts w:ascii="Arial" w:hAnsi="Arial" w:cs="Arial"/>
          <w:sz w:val="20"/>
          <w:szCs w:val="20"/>
        </w:rPr>
      </w:pPr>
      <w:r w:rsidRPr="0088338F">
        <w:rPr>
          <w:rFonts w:ascii="Arial" w:hAnsi="Arial" w:cs="Arial"/>
          <w:sz w:val="20"/>
          <w:szCs w:val="20"/>
        </w:rPr>
        <w:lastRenderedPageBreak/>
        <w:t>Rozdelenie menovitej hodnoty finančných derivátov podľa zostatkovej splatnosti na konci roka 20</w:t>
      </w:r>
      <w:r w:rsidR="00277FE0" w:rsidRPr="0088338F">
        <w:rPr>
          <w:rFonts w:ascii="Arial" w:hAnsi="Arial" w:cs="Arial"/>
          <w:sz w:val="20"/>
          <w:szCs w:val="20"/>
        </w:rPr>
        <w:t>1</w:t>
      </w:r>
      <w:r w:rsidR="00297D25" w:rsidRPr="0088338F">
        <w:rPr>
          <w:rFonts w:ascii="Arial" w:hAnsi="Arial" w:cs="Arial"/>
          <w:sz w:val="20"/>
          <w:szCs w:val="20"/>
        </w:rPr>
        <w:t>6</w:t>
      </w:r>
      <w:r w:rsidRPr="0088338F">
        <w:rPr>
          <w:rFonts w:ascii="Arial" w:hAnsi="Arial" w:cs="Arial"/>
          <w:sz w:val="20"/>
          <w:szCs w:val="20"/>
        </w:rPr>
        <w:t xml:space="preserve"> je nasledovné:</w:t>
      </w:r>
    </w:p>
    <w:bookmarkStart w:id="1411" w:name="_MON_1359377680"/>
    <w:bookmarkStart w:id="1412" w:name="_MON_1359377703"/>
    <w:bookmarkStart w:id="1413" w:name="_MON_1359377729"/>
    <w:bookmarkStart w:id="1414" w:name="_MON_1389889278"/>
    <w:bookmarkStart w:id="1415" w:name="_MON_1390891940"/>
    <w:bookmarkStart w:id="1416" w:name="_MON_1391950476"/>
    <w:bookmarkStart w:id="1417" w:name="_MON_1422093510"/>
    <w:bookmarkStart w:id="1418" w:name="_MON_1422093551"/>
    <w:bookmarkStart w:id="1419" w:name="_MON_1422256491"/>
    <w:bookmarkStart w:id="1420" w:name="_MON_1453638548"/>
    <w:bookmarkStart w:id="1421" w:name="_MON_1454222091"/>
    <w:bookmarkStart w:id="1422" w:name="_MON_1454222593"/>
    <w:bookmarkStart w:id="1423" w:name="_MON_1454226380"/>
    <w:bookmarkStart w:id="1424" w:name="_MON_1485327441"/>
    <w:bookmarkStart w:id="1425" w:name="_MON_1485327635"/>
    <w:bookmarkStart w:id="1426" w:name="_MON_1485327967"/>
    <w:bookmarkStart w:id="1427" w:name="_MON_1485328163"/>
    <w:bookmarkStart w:id="1428" w:name="_MON_1485345138"/>
    <w:bookmarkStart w:id="1429" w:name="_MON_1485345650"/>
    <w:bookmarkStart w:id="1430" w:name="_MON_1485580723"/>
    <w:bookmarkStart w:id="1431" w:name="_MON_1355237067"/>
    <w:bookmarkStart w:id="1432" w:name="_MON_1359377510"/>
    <w:bookmarkStart w:id="1433" w:name="_MON_1359377533"/>
    <w:bookmarkStart w:id="1434" w:name="_MON_1359377615"/>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Start w:id="1435" w:name="_MON_1359377626"/>
    <w:bookmarkEnd w:id="1435"/>
    <w:p w14:paraId="621359AF" w14:textId="31BE6832" w:rsidR="00045812" w:rsidRPr="0088338F" w:rsidRDefault="00B93D08" w:rsidP="00425DAE">
      <w:pPr>
        <w:jc w:val="both"/>
      </w:pPr>
      <w:r w:rsidRPr="0088338F">
        <w:object w:dxaOrig="11149" w:dyaOrig="4252" w14:anchorId="72B80F58">
          <v:shape id="_x0000_i1069" type="#_x0000_t75" style="width:458.4pt;height:193.2pt" o:ole="">
            <v:imagedata r:id="rId116" o:title=""/>
          </v:shape>
          <o:OLEObject Type="Embed" ProgID="Excel.Sheet.8" ShapeID="_x0000_i1069" DrawAspect="Content" ObjectID="_1551591570" r:id="rId117"/>
        </w:object>
      </w:r>
    </w:p>
    <w:p w14:paraId="1B646B7D" w14:textId="77777777" w:rsidR="00E519F8" w:rsidRPr="0088338F" w:rsidRDefault="00E519F8" w:rsidP="00425DAE">
      <w:pPr>
        <w:jc w:val="both"/>
        <w:rPr>
          <w:rFonts w:ascii="Arial" w:hAnsi="Arial" w:cs="Arial"/>
          <w:sz w:val="20"/>
          <w:szCs w:val="20"/>
        </w:rPr>
      </w:pPr>
    </w:p>
    <w:p w14:paraId="767C56E0" w14:textId="6FA4E2A4" w:rsidR="00045812" w:rsidRPr="0088338F" w:rsidRDefault="00045812" w:rsidP="00045812">
      <w:pPr>
        <w:jc w:val="both"/>
        <w:rPr>
          <w:rFonts w:ascii="Arial" w:hAnsi="Arial" w:cs="Arial"/>
          <w:sz w:val="20"/>
          <w:szCs w:val="20"/>
        </w:rPr>
      </w:pPr>
      <w:r w:rsidRPr="0088338F">
        <w:rPr>
          <w:rFonts w:ascii="Arial" w:hAnsi="Arial" w:cs="Arial"/>
          <w:sz w:val="20"/>
          <w:szCs w:val="20"/>
        </w:rPr>
        <w:t>Rozdelenie menovitej hodnoty finančných derivátov podľa zostatkovej splatnosti na konci roka 20</w:t>
      </w:r>
      <w:r w:rsidR="00DC6031" w:rsidRPr="0088338F">
        <w:rPr>
          <w:rFonts w:ascii="Arial" w:hAnsi="Arial" w:cs="Arial"/>
          <w:sz w:val="20"/>
          <w:szCs w:val="20"/>
        </w:rPr>
        <w:t>1</w:t>
      </w:r>
      <w:r w:rsidR="00860C84" w:rsidRPr="0088338F">
        <w:rPr>
          <w:rFonts w:ascii="Arial" w:hAnsi="Arial" w:cs="Arial"/>
          <w:sz w:val="20"/>
          <w:szCs w:val="20"/>
        </w:rPr>
        <w:t>5</w:t>
      </w:r>
      <w:r w:rsidRPr="0088338F">
        <w:rPr>
          <w:rFonts w:ascii="Arial" w:hAnsi="Arial" w:cs="Arial"/>
          <w:sz w:val="20"/>
          <w:szCs w:val="20"/>
        </w:rPr>
        <w:t xml:space="preserve"> je nasledovné:</w:t>
      </w:r>
    </w:p>
    <w:p w14:paraId="1B1DBF9F" w14:textId="7A0C402B" w:rsidR="000E2153" w:rsidRPr="0088338F" w:rsidRDefault="00860C84" w:rsidP="00425DAE">
      <w:pPr>
        <w:jc w:val="both"/>
      </w:pPr>
      <w:r w:rsidRPr="0088338F">
        <w:object w:dxaOrig="11179" w:dyaOrig="4747" w14:anchorId="4F25D940">
          <v:shape id="_x0000_i1070" type="#_x0000_t75" style="width:460.2pt;height:3in" o:ole="">
            <v:imagedata r:id="rId118" o:title=""/>
          </v:shape>
          <o:OLEObject Type="Embed" ProgID="Excel.Sheet.8" ShapeID="_x0000_i1070" DrawAspect="Content" ObjectID="_1551591571" r:id="rId119"/>
        </w:object>
      </w:r>
    </w:p>
    <w:p w14:paraId="5F4CEE22" w14:textId="77777777" w:rsidR="008602FF" w:rsidRPr="0088338F" w:rsidRDefault="008602FF" w:rsidP="00425DAE">
      <w:pPr>
        <w:jc w:val="both"/>
      </w:pPr>
    </w:p>
    <w:p w14:paraId="2558711C" w14:textId="77777777" w:rsidR="001C1656" w:rsidRPr="0088338F" w:rsidRDefault="001C1656" w:rsidP="00425DAE">
      <w:pPr>
        <w:jc w:val="both"/>
      </w:pPr>
    </w:p>
    <w:p w14:paraId="4CF80215" w14:textId="77777777" w:rsidR="001C1656" w:rsidRPr="0088338F" w:rsidRDefault="001C1656" w:rsidP="00425DAE">
      <w:pPr>
        <w:jc w:val="both"/>
      </w:pPr>
    </w:p>
    <w:p w14:paraId="6174C155" w14:textId="77777777" w:rsidR="001C1656" w:rsidRPr="0088338F" w:rsidRDefault="001C1656" w:rsidP="00425DAE">
      <w:pPr>
        <w:jc w:val="both"/>
      </w:pPr>
    </w:p>
    <w:p w14:paraId="5729D4AF" w14:textId="77777777" w:rsidR="001C1656" w:rsidRPr="0088338F" w:rsidRDefault="001C1656" w:rsidP="00425DAE">
      <w:pPr>
        <w:jc w:val="both"/>
      </w:pPr>
    </w:p>
    <w:p w14:paraId="7AD1329C" w14:textId="77777777" w:rsidR="001C1656" w:rsidRPr="0088338F" w:rsidRDefault="001C1656" w:rsidP="00425DAE">
      <w:pPr>
        <w:jc w:val="both"/>
      </w:pPr>
    </w:p>
    <w:p w14:paraId="468F803C" w14:textId="77777777" w:rsidR="001C1656" w:rsidRPr="0088338F" w:rsidRDefault="001C1656" w:rsidP="00425DAE">
      <w:pPr>
        <w:jc w:val="both"/>
      </w:pPr>
      <w:r w:rsidRPr="0088338F">
        <w:br w:type="page"/>
      </w:r>
    </w:p>
    <w:p w14:paraId="08241A26" w14:textId="086F267C" w:rsidR="00BA6D86" w:rsidRPr="0088338F" w:rsidRDefault="00BA6D86" w:rsidP="003C18A9">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lastRenderedPageBreak/>
        <w:t>Úrokové výnosy a obdobné výnosy</w:t>
      </w:r>
    </w:p>
    <w:bookmarkStart w:id="1436" w:name="_MON_1461477836"/>
    <w:bookmarkStart w:id="1437" w:name="_MON_1466492418"/>
    <w:bookmarkStart w:id="1438" w:name="_MON_1466492818"/>
    <w:bookmarkStart w:id="1439" w:name="_MON_1380108423"/>
    <w:bookmarkStart w:id="1440" w:name="_MON_1380108445"/>
    <w:bookmarkStart w:id="1441" w:name="_MON_1380108613"/>
    <w:bookmarkStart w:id="1442" w:name="_MON_1380108868"/>
    <w:bookmarkStart w:id="1443" w:name="_MON_1380109124"/>
    <w:bookmarkStart w:id="1444" w:name="_MON_1380109240"/>
    <w:bookmarkStart w:id="1445" w:name="_MON_1380109355"/>
    <w:bookmarkStart w:id="1446" w:name="_MON_1387458131"/>
    <w:bookmarkStart w:id="1447" w:name="_MON_1387459939"/>
    <w:bookmarkStart w:id="1448" w:name="_MON_1395043902"/>
    <w:bookmarkStart w:id="1449" w:name="_MON_1395043924"/>
    <w:bookmarkStart w:id="1450" w:name="_MON_1395745372"/>
    <w:bookmarkStart w:id="1451" w:name="_MON_1395745401"/>
    <w:bookmarkStart w:id="1452" w:name="_MON_1395745598"/>
    <w:bookmarkStart w:id="1453" w:name="_MON_1395745622"/>
    <w:bookmarkStart w:id="1454" w:name="_MON_1395909065"/>
    <w:bookmarkStart w:id="1455" w:name="_MON_1395909082"/>
    <w:bookmarkStart w:id="1456" w:name="_MON_1396089842"/>
    <w:bookmarkStart w:id="1457" w:name="_MON_1424764399"/>
    <w:bookmarkStart w:id="1458" w:name="_MON_1426934866"/>
    <w:bookmarkStart w:id="1459" w:name="_MON_1426935513"/>
    <w:bookmarkStart w:id="1460" w:name="_MON_1426935530"/>
    <w:bookmarkStart w:id="1461" w:name="_MON_1426935682"/>
    <w:bookmarkStart w:id="1462" w:name="_MON_1426935713"/>
    <w:bookmarkStart w:id="1463" w:name="_MON_1427100360"/>
    <w:bookmarkStart w:id="1464" w:name="_MON_1427180049"/>
    <w:bookmarkStart w:id="1465" w:name="_MON_1456742264"/>
    <w:bookmarkStart w:id="1466" w:name="_MON_1458720531"/>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Start w:id="1467" w:name="_MON_1461477783"/>
    <w:bookmarkEnd w:id="1467"/>
    <w:p w14:paraId="6C0BDF12" w14:textId="312FAD10" w:rsidR="001B6A4B" w:rsidRPr="0088338F" w:rsidRDefault="00B3329D" w:rsidP="003C18A9">
      <w:pPr>
        <w:jc w:val="both"/>
        <w:rPr>
          <w:rFonts w:ascii="Arial" w:hAnsi="Arial" w:cs="Arial"/>
        </w:rPr>
      </w:pPr>
      <w:r w:rsidRPr="0088338F">
        <w:rPr>
          <w:rFonts w:ascii="Arial" w:hAnsi="Arial" w:cs="Arial"/>
        </w:rPr>
        <w:object w:dxaOrig="9669" w:dyaOrig="3263" w14:anchorId="2C355272">
          <v:shape id="_x0000_i1071" type="#_x0000_t75" style="width:451.8pt;height:168.6pt" o:ole="" o:preferrelative="f">
            <v:imagedata r:id="rId120" o:title=""/>
            <o:lock v:ext="edit" aspectratio="f"/>
          </v:shape>
          <o:OLEObject Type="Embed" ProgID="Excel.Sheet.8" ShapeID="_x0000_i1071" DrawAspect="Content" ObjectID="_1551591572" r:id="rId121"/>
        </w:object>
      </w:r>
    </w:p>
    <w:p w14:paraId="1E79A961" w14:textId="77777777" w:rsidR="00755308" w:rsidRPr="0088338F" w:rsidRDefault="00755308" w:rsidP="003C18A9">
      <w:pPr>
        <w:jc w:val="both"/>
        <w:rPr>
          <w:rFonts w:ascii="Arial" w:hAnsi="Arial" w:cs="Arial"/>
          <w:sz w:val="20"/>
          <w:szCs w:val="20"/>
        </w:rPr>
      </w:pPr>
    </w:p>
    <w:p w14:paraId="3C63C12F" w14:textId="77777777" w:rsidR="00D82D94" w:rsidRPr="0088338F" w:rsidRDefault="00D82D94" w:rsidP="003C18A9">
      <w:pPr>
        <w:jc w:val="both"/>
        <w:rPr>
          <w:rFonts w:ascii="Arial" w:hAnsi="Arial" w:cs="Arial"/>
          <w:sz w:val="20"/>
          <w:szCs w:val="20"/>
        </w:rPr>
      </w:pPr>
    </w:p>
    <w:p w14:paraId="74815AA2" w14:textId="4D010483" w:rsidR="00CE04EF" w:rsidRPr="0088338F" w:rsidRDefault="00CE04EF" w:rsidP="003C18A9">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Úrokové náklady a obdobné náklady</w:t>
      </w:r>
    </w:p>
    <w:bookmarkStart w:id="1468" w:name="_MON_1380111594"/>
    <w:bookmarkStart w:id="1469" w:name="_MON_1380111725"/>
    <w:bookmarkStart w:id="1470" w:name="_MON_1380111861"/>
    <w:bookmarkStart w:id="1471" w:name="_MON_1387459086"/>
    <w:bookmarkStart w:id="1472" w:name="_MON_1395044004"/>
    <w:bookmarkStart w:id="1473" w:name="_MON_1395745839"/>
    <w:bookmarkStart w:id="1474" w:name="_MON_1395745862"/>
    <w:bookmarkStart w:id="1475" w:name="_MON_1395745887"/>
    <w:bookmarkStart w:id="1476" w:name="_MON_1395745906"/>
    <w:bookmarkStart w:id="1477" w:name="_MON_1395745930"/>
    <w:bookmarkStart w:id="1478" w:name="_MON_1395745952"/>
    <w:bookmarkStart w:id="1479" w:name="_MON_1395745972"/>
    <w:bookmarkStart w:id="1480" w:name="_MON_1395746036"/>
    <w:bookmarkStart w:id="1481" w:name="_MON_1395746069"/>
    <w:bookmarkStart w:id="1482" w:name="_MON_1395909156"/>
    <w:bookmarkStart w:id="1483" w:name="_MON_1396089880"/>
    <w:bookmarkStart w:id="1484" w:name="_MON_1424764432"/>
    <w:bookmarkStart w:id="1485" w:name="_MON_1426936151"/>
    <w:bookmarkStart w:id="1486" w:name="_MON_1426936374"/>
    <w:bookmarkStart w:id="1487" w:name="_MON_1426936379"/>
    <w:bookmarkStart w:id="1488" w:name="_MON_1426936794"/>
    <w:bookmarkStart w:id="1489" w:name="_MON_1427100395"/>
    <w:bookmarkStart w:id="1490" w:name="_MON_1456742292"/>
    <w:bookmarkStart w:id="1491" w:name="_MON_1458721070"/>
    <w:bookmarkStart w:id="1492" w:name="_MON_1458721255"/>
    <w:bookmarkStart w:id="1493" w:name="_MON_1461477876"/>
    <w:bookmarkStart w:id="1494" w:name="_MON_1466492934"/>
    <w:bookmarkStart w:id="1495" w:name="_MON_1466493571"/>
    <w:bookmarkStart w:id="1496" w:name="_MON_1216488409"/>
    <w:bookmarkStart w:id="1497" w:name="_MON_1217336938"/>
    <w:bookmarkStart w:id="1498" w:name="_MON_1217338597"/>
    <w:bookmarkStart w:id="1499" w:name="_MON_1231410610"/>
    <w:bookmarkStart w:id="1500" w:name="_MON_1232011863"/>
    <w:bookmarkStart w:id="1501" w:name="_MON_1232012706"/>
    <w:bookmarkStart w:id="1502" w:name="_MON_1249396140"/>
    <w:bookmarkStart w:id="1503" w:name="_MON_1264109417"/>
    <w:bookmarkStart w:id="1504" w:name="_MON_1265803556"/>
    <w:bookmarkStart w:id="1505" w:name="_MON_1266496239"/>
    <w:bookmarkStart w:id="1506" w:name="_MON_1288372411"/>
    <w:bookmarkStart w:id="1507" w:name="_MON_1296812929"/>
    <w:bookmarkStart w:id="1508" w:name="_MON_1296942760"/>
    <w:bookmarkStart w:id="1509" w:name="_MON_1322816227"/>
    <w:bookmarkStart w:id="1510" w:name="_MON_1328343755"/>
    <w:bookmarkStart w:id="1511" w:name="_MON_1328440111"/>
    <w:bookmarkStart w:id="1512" w:name="_MON_1328440125"/>
    <w:bookmarkStart w:id="1513" w:name="_MON_1355310262"/>
    <w:bookmarkStart w:id="1514" w:name="_MON_1359385008"/>
    <w:bookmarkStart w:id="1515" w:name="_MON_1359458796"/>
    <w:bookmarkStart w:id="1516" w:name="_MON_1364023707"/>
    <w:bookmarkStart w:id="1517" w:name="_MON_1364024898"/>
    <w:bookmarkStart w:id="1518" w:name="_MON_1372078214"/>
    <w:bookmarkStart w:id="1519" w:name="_MON_1372078423"/>
    <w:bookmarkStart w:id="1520" w:name="_MON_1372078492"/>
    <w:bookmarkStart w:id="1521" w:name="_MON_1372078510"/>
    <w:bookmarkStart w:id="1522" w:name="_MON_1372078677"/>
    <w:bookmarkStart w:id="1523" w:name="_MON_1372078762"/>
    <w:bookmarkStart w:id="1524" w:name="_MON_1372078786"/>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Start w:id="1525" w:name="_MON_1380111491"/>
    <w:bookmarkEnd w:id="1525"/>
    <w:p w14:paraId="217EF157" w14:textId="59DAD756" w:rsidR="004B4462" w:rsidRPr="0088338F" w:rsidRDefault="000E0314" w:rsidP="003C18A9">
      <w:pPr>
        <w:jc w:val="both"/>
        <w:rPr>
          <w:rFonts w:ascii="Arial" w:hAnsi="Arial" w:cs="Arial"/>
        </w:rPr>
      </w:pPr>
      <w:r w:rsidRPr="0088338F">
        <w:rPr>
          <w:rFonts w:ascii="Arial" w:hAnsi="Arial" w:cs="Arial"/>
        </w:rPr>
        <w:object w:dxaOrig="9669" w:dyaOrig="2521" w14:anchorId="3B3920C9">
          <v:shape id="_x0000_i1072" type="#_x0000_t75" style="width:450.6pt;height:129.6pt" o:ole="" o:preferrelative="f">
            <v:imagedata r:id="rId122" o:title=""/>
            <o:lock v:ext="edit" aspectratio="f"/>
          </v:shape>
          <o:OLEObject Type="Embed" ProgID="Excel.Sheet.8" ShapeID="_x0000_i1072" DrawAspect="Content" ObjectID="_1551591573" r:id="rId123"/>
        </w:object>
      </w:r>
    </w:p>
    <w:p w14:paraId="1DFD4D15" w14:textId="77777777" w:rsidR="003564F6" w:rsidRPr="0088338F" w:rsidRDefault="003564F6" w:rsidP="003C18A9">
      <w:pPr>
        <w:jc w:val="both"/>
        <w:rPr>
          <w:rFonts w:ascii="Arial" w:hAnsi="Arial" w:cs="Arial"/>
        </w:rPr>
      </w:pPr>
    </w:p>
    <w:p w14:paraId="1982D421" w14:textId="77777777" w:rsidR="003564F6" w:rsidRPr="0088338F" w:rsidRDefault="003564F6" w:rsidP="003C18A9">
      <w:pPr>
        <w:jc w:val="both"/>
        <w:rPr>
          <w:rFonts w:ascii="Arial" w:hAnsi="Arial" w:cs="Arial"/>
          <w:sz w:val="20"/>
          <w:szCs w:val="20"/>
        </w:rPr>
      </w:pPr>
    </w:p>
    <w:p w14:paraId="5D3B9E1F" w14:textId="6CBEF1CB" w:rsidR="00CE04EF" w:rsidRPr="0088338F" w:rsidRDefault="00CE04EF" w:rsidP="003C18A9">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výnosy z poplatkov a provízií</w:t>
      </w:r>
    </w:p>
    <w:bookmarkStart w:id="1526" w:name="_MON_1426936651"/>
    <w:bookmarkStart w:id="1527" w:name="_MON_1426936700"/>
    <w:bookmarkStart w:id="1528" w:name="_MON_1456742319"/>
    <w:bookmarkStart w:id="1529" w:name="_MON_1458730792"/>
    <w:bookmarkStart w:id="1530" w:name="_MON_1461477920"/>
    <w:bookmarkStart w:id="1531" w:name="_MON_1466493444"/>
    <w:bookmarkStart w:id="1532" w:name="_MON_1264110389"/>
    <w:bookmarkStart w:id="1533" w:name="_MON_1288372440"/>
    <w:bookmarkStart w:id="1534" w:name="_MON_1296813605"/>
    <w:bookmarkStart w:id="1535" w:name="_MON_1322816292"/>
    <w:bookmarkStart w:id="1536" w:name="_MON_1328440713"/>
    <w:bookmarkStart w:id="1537" w:name="_MON_1329565984"/>
    <w:bookmarkStart w:id="1538" w:name="_MON_1355310298"/>
    <w:bookmarkStart w:id="1539" w:name="_MON_1359385483"/>
    <w:bookmarkStart w:id="1540" w:name="_MON_1359385577"/>
    <w:bookmarkStart w:id="1541" w:name="_MON_1364025637"/>
    <w:bookmarkStart w:id="1542" w:name="_MON_1372079290"/>
    <w:bookmarkStart w:id="1543" w:name="_MON_1372079326"/>
    <w:bookmarkStart w:id="1544" w:name="_MON_1372079406"/>
    <w:bookmarkStart w:id="1545" w:name="_MON_1372079503"/>
    <w:bookmarkStart w:id="1546" w:name="_MON_1372079517"/>
    <w:bookmarkStart w:id="1547" w:name="_MON_1372250201"/>
    <w:bookmarkStart w:id="1548" w:name="_MON_1380180775"/>
    <w:bookmarkStart w:id="1549" w:name="_MON_1387459344"/>
    <w:bookmarkStart w:id="1550" w:name="_MON_1387459398"/>
    <w:bookmarkStart w:id="1551" w:name="_MON_1395044072"/>
    <w:bookmarkStart w:id="1552" w:name="_MON_1395745681"/>
    <w:bookmarkStart w:id="1553" w:name="_MON_1395745796"/>
    <w:bookmarkStart w:id="1554" w:name="_MON_1395746183"/>
    <w:bookmarkStart w:id="1555" w:name="_MON_1395746254"/>
    <w:bookmarkStart w:id="1556" w:name="_MON_1395746277"/>
    <w:bookmarkStart w:id="1557" w:name="_MON_1395746298"/>
    <w:bookmarkStart w:id="1558" w:name="_MON_1395746328"/>
    <w:bookmarkStart w:id="1559" w:name="_MON_1395909201"/>
    <w:bookmarkStart w:id="1560" w:name="_MON_1395909246"/>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Start w:id="1561" w:name="_MON_1424764459"/>
    <w:bookmarkEnd w:id="1561"/>
    <w:p w14:paraId="532DE39A" w14:textId="042D160F" w:rsidR="001913ED" w:rsidRPr="0088338F" w:rsidRDefault="00182641" w:rsidP="003C18A9">
      <w:pPr>
        <w:jc w:val="both"/>
        <w:rPr>
          <w:rFonts w:ascii="Arial" w:hAnsi="Arial" w:cs="Arial"/>
          <w:sz w:val="20"/>
          <w:szCs w:val="20"/>
        </w:rPr>
      </w:pPr>
      <w:r w:rsidRPr="0088338F">
        <w:rPr>
          <w:rFonts w:ascii="Arial" w:hAnsi="Arial" w:cs="Arial"/>
        </w:rPr>
        <w:object w:dxaOrig="9669" w:dyaOrig="2768" w14:anchorId="19AB8442">
          <v:shape id="_x0000_i1073" type="#_x0000_t75" style="width:450.6pt;height:157.2pt" o:ole="" o:preferrelative="f">
            <v:imagedata r:id="rId124" o:title=""/>
            <o:lock v:ext="edit" aspectratio="f"/>
          </v:shape>
          <o:OLEObject Type="Embed" ProgID="Excel.Sheet.8" ShapeID="_x0000_i1073" DrawAspect="Content" ObjectID="_1551591574" r:id="rId125"/>
        </w:object>
      </w:r>
    </w:p>
    <w:p w14:paraId="22816AB5" w14:textId="77777777" w:rsidR="008602FF" w:rsidRPr="0088338F" w:rsidRDefault="003564F6" w:rsidP="003C18A9">
      <w:pPr>
        <w:jc w:val="both"/>
        <w:rPr>
          <w:rFonts w:ascii="Arial" w:hAnsi="Arial" w:cs="Arial"/>
          <w:sz w:val="20"/>
          <w:szCs w:val="20"/>
        </w:rPr>
      </w:pPr>
      <w:r w:rsidRPr="0088338F">
        <w:rPr>
          <w:rFonts w:ascii="Arial" w:hAnsi="Arial" w:cs="Arial"/>
          <w:sz w:val="20"/>
          <w:szCs w:val="20"/>
        </w:rPr>
        <w:br w:type="page"/>
      </w:r>
    </w:p>
    <w:p w14:paraId="1B86C10E" w14:textId="21CA18AA" w:rsidR="00CE04EF" w:rsidRPr="0088338F" w:rsidRDefault="00142964" w:rsidP="003C18A9">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lastRenderedPageBreak/>
        <w:t>náklady na poplatky a provízie</w:t>
      </w:r>
    </w:p>
    <w:bookmarkStart w:id="1562" w:name="_MON_1461477953"/>
    <w:bookmarkStart w:id="1563" w:name="_MON_1466493686"/>
    <w:bookmarkStart w:id="1564" w:name="_MON_1249396392"/>
    <w:bookmarkStart w:id="1565" w:name="_MON_1249584298"/>
    <w:bookmarkStart w:id="1566" w:name="_MON_1264111070"/>
    <w:bookmarkStart w:id="1567" w:name="_MON_1288372473"/>
    <w:bookmarkStart w:id="1568" w:name="_MON_1296814289"/>
    <w:bookmarkStart w:id="1569" w:name="_MON_1322816385"/>
    <w:bookmarkStart w:id="1570" w:name="_MON_1328440957"/>
    <w:bookmarkStart w:id="1571" w:name="_MON_1328528478"/>
    <w:bookmarkStart w:id="1572" w:name="_MON_1355310329"/>
    <w:bookmarkStart w:id="1573" w:name="_MON_1359385979"/>
    <w:bookmarkStart w:id="1574" w:name="_MON_1364030781"/>
    <w:bookmarkStart w:id="1575" w:name="_MON_1372079918"/>
    <w:bookmarkStart w:id="1576" w:name="_MON_1372079975"/>
    <w:bookmarkStart w:id="1577" w:name="_MON_1372080041"/>
    <w:bookmarkStart w:id="1578" w:name="_MON_1380181217"/>
    <w:bookmarkStart w:id="1579" w:name="_MON_1387459694"/>
    <w:bookmarkStart w:id="1580" w:name="_MON_1387460229"/>
    <w:bookmarkStart w:id="1581" w:name="_MON_1395044143"/>
    <w:bookmarkStart w:id="1582" w:name="_MON_1395746608"/>
    <w:bookmarkStart w:id="1583" w:name="_MON_1395746634"/>
    <w:bookmarkStart w:id="1584" w:name="_MON_1395746652"/>
    <w:bookmarkStart w:id="1585" w:name="_MON_1395746665"/>
    <w:bookmarkStart w:id="1586" w:name="_MON_1395746718"/>
    <w:bookmarkStart w:id="1587" w:name="_MON_1395909283"/>
    <w:bookmarkStart w:id="1588" w:name="_MON_1424764475"/>
    <w:bookmarkStart w:id="1589" w:name="_MON_1426936942"/>
    <w:bookmarkStart w:id="1590" w:name="_MON_1426937025"/>
    <w:bookmarkStart w:id="1591" w:name="_MON_1456743071"/>
    <w:bookmarkStart w:id="1592" w:name="_MON_1458730944"/>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Start w:id="1593" w:name="_MON_1458731736"/>
    <w:bookmarkEnd w:id="1593"/>
    <w:p w14:paraId="1BA8FB8C" w14:textId="768FB9E6" w:rsidR="00035E3E" w:rsidRPr="0088338F" w:rsidRDefault="0027158A" w:rsidP="003C18A9">
      <w:pPr>
        <w:jc w:val="both"/>
        <w:rPr>
          <w:rFonts w:ascii="Arial" w:hAnsi="Arial" w:cs="Arial"/>
          <w:sz w:val="20"/>
          <w:szCs w:val="20"/>
        </w:rPr>
      </w:pPr>
      <w:r w:rsidRPr="0088338F">
        <w:rPr>
          <w:rFonts w:ascii="Arial" w:hAnsi="Arial" w:cs="Arial"/>
        </w:rPr>
        <w:object w:dxaOrig="9669" w:dyaOrig="2521" w14:anchorId="63FD8528">
          <v:shape id="_x0000_i1074" type="#_x0000_t75" style="width:450.6pt;height:129.6pt" o:ole="" o:preferrelative="f">
            <v:imagedata r:id="rId126" o:title=""/>
            <o:lock v:ext="edit" aspectratio="f"/>
          </v:shape>
          <o:OLEObject Type="Embed" ProgID="Excel.Sheet.8" ShapeID="_x0000_i1074" DrawAspect="Content" ObjectID="_1551591575" r:id="rId127"/>
        </w:object>
      </w:r>
    </w:p>
    <w:p w14:paraId="3CC6EBF2" w14:textId="77777777" w:rsidR="00E325B2" w:rsidRPr="0088338F" w:rsidRDefault="00E325B2" w:rsidP="003C18A9">
      <w:pPr>
        <w:jc w:val="both"/>
        <w:rPr>
          <w:rFonts w:ascii="Arial" w:hAnsi="Arial" w:cs="Arial"/>
          <w:sz w:val="20"/>
          <w:szCs w:val="20"/>
        </w:rPr>
      </w:pPr>
    </w:p>
    <w:p w14:paraId="365684B2" w14:textId="77777777" w:rsidR="00623F07" w:rsidRPr="0088338F" w:rsidRDefault="00623F07" w:rsidP="003C18A9">
      <w:pPr>
        <w:jc w:val="both"/>
        <w:rPr>
          <w:rFonts w:ascii="Arial" w:hAnsi="Arial" w:cs="Arial"/>
          <w:sz w:val="20"/>
          <w:szCs w:val="20"/>
        </w:rPr>
      </w:pPr>
    </w:p>
    <w:p w14:paraId="2035FD47" w14:textId="27BF83E8" w:rsidR="007445D1" w:rsidRPr="0088338F" w:rsidRDefault="00142964" w:rsidP="007445D1">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zisk z</w:t>
      </w:r>
      <w:r w:rsidR="007445D1" w:rsidRPr="0088338F">
        <w:rPr>
          <w:rFonts w:ascii="Arial" w:hAnsi="Arial" w:cs="Arial"/>
          <w:b/>
          <w:caps/>
          <w:sz w:val="20"/>
          <w:szCs w:val="20"/>
        </w:rPr>
        <w:t> </w:t>
      </w:r>
      <w:r w:rsidRPr="0088338F">
        <w:rPr>
          <w:rFonts w:ascii="Arial" w:hAnsi="Arial" w:cs="Arial"/>
          <w:b/>
          <w:caps/>
          <w:sz w:val="20"/>
          <w:szCs w:val="20"/>
        </w:rPr>
        <w:t>obchodovania</w:t>
      </w:r>
    </w:p>
    <w:bookmarkStart w:id="1594" w:name="_MON_1389889509"/>
    <w:bookmarkStart w:id="1595" w:name="_MON_1390629796"/>
    <w:bookmarkStart w:id="1596" w:name="_MON_1390892370"/>
    <w:bookmarkStart w:id="1597" w:name="_MON_1390988705"/>
    <w:bookmarkStart w:id="1598" w:name="_MON_1396090163"/>
    <w:bookmarkStart w:id="1599" w:name="_MON_1396090814"/>
    <w:bookmarkStart w:id="1600" w:name="_MON_1424764502"/>
    <w:bookmarkStart w:id="1601" w:name="_MON_1426937365"/>
    <w:bookmarkStart w:id="1602" w:name="_MON_1426937368"/>
    <w:bookmarkStart w:id="1603" w:name="_MON_1426937862"/>
    <w:bookmarkStart w:id="1604" w:name="_MON_1426937985"/>
    <w:bookmarkStart w:id="1605" w:name="_MON_1426938261"/>
    <w:bookmarkStart w:id="1606" w:name="_MON_1426939822"/>
    <w:bookmarkStart w:id="1607" w:name="_MON_1427002278"/>
    <w:bookmarkStart w:id="1608" w:name="_MON_1427100441"/>
    <w:bookmarkStart w:id="1609" w:name="_MON_1456743095"/>
    <w:bookmarkStart w:id="1610" w:name="_MON_1458731741"/>
    <w:bookmarkStart w:id="1611" w:name="_MON_1458732240"/>
    <w:bookmarkStart w:id="1612" w:name="_MON_1461477983"/>
    <w:bookmarkStart w:id="1613" w:name="_MON_1466493862"/>
    <w:bookmarkStart w:id="1614" w:name="_MON_1466503300"/>
    <w:bookmarkStart w:id="1615" w:name="_MON_1216489596"/>
    <w:bookmarkStart w:id="1616" w:name="_MON_1217336982"/>
    <w:bookmarkStart w:id="1617" w:name="_MON_1217339130"/>
    <w:bookmarkStart w:id="1618" w:name="_MON_1217339139"/>
    <w:bookmarkStart w:id="1619" w:name="_MON_1231412867"/>
    <w:bookmarkStart w:id="1620" w:name="_MON_1232017237"/>
    <w:bookmarkStart w:id="1621" w:name="_MON_1232017371"/>
    <w:bookmarkStart w:id="1622" w:name="_MON_1232467824"/>
    <w:bookmarkStart w:id="1623" w:name="_MON_1232467846"/>
    <w:bookmarkStart w:id="1624" w:name="_MON_1232467874"/>
    <w:bookmarkStart w:id="1625" w:name="_MON_1249396341"/>
    <w:bookmarkStart w:id="1626" w:name="_MON_1264111655"/>
    <w:bookmarkStart w:id="1627" w:name="_MON_1265645575"/>
    <w:bookmarkStart w:id="1628" w:name="_MON_1265645605"/>
    <w:bookmarkStart w:id="1629" w:name="_MON_1265645631"/>
    <w:bookmarkStart w:id="1630" w:name="_MON_1267518051"/>
    <w:bookmarkStart w:id="1631" w:name="_MON_1288372495"/>
    <w:bookmarkStart w:id="1632" w:name="_MON_1296815391"/>
    <w:bookmarkStart w:id="1633" w:name="_MON_1296945189"/>
    <w:bookmarkStart w:id="1634" w:name="_MON_1322816452"/>
    <w:bookmarkStart w:id="1635" w:name="_MON_1328343784"/>
    <w:bookmarkStart w:id="1636" w:name="_MON_1328441542"/>
    <w:bookmarkStart w:id="1637" w:name="_MON_1328528611"/>
    <w:bookmarkStart w:id="1638" w:name="_MON_1328529506"/>
    <w:bookmarkStart w:id="1639" w:name="_MON_1355310350"/>
    <w:bookmarkStart w:id="1640" w:name="_MON_1359385975"/>
    <w:bookmarkStart w:id="1641" w:name="_MON_1359386702"/>
    <w:bookmarkStart w:id="1642" w:name="_MON_1359386902"/>
    <w:bookmarkStart w:id="1643" w:name="_MON_1359458808"/>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Start w:id="1644" w:name="_MON_1389889478"/>
    <w:bookmarkEnd w:id="1644"/>
    <w:p w14:paraId="5BFDD5D1" w14:textId="2194907D" w:rsidR="004B4462" w:rsidRPr="0088338F" w:rsidRDefault="00B93D08" w:rsidP="003C18A9">
      <w:pPr>
        <w:jc w:val="both"/>
        <w:rPr>
          <w:rFonts w:ascii="Arial" w:hAnsi="Arial" w:cs="Arial"/>
          <w:sz w:val="20"/>
          <w:szCs w:val="20"/>
        </w:rPr>
      </w:pPr>
      <w:r w:rsidRPr="0088338F">
        <w:rPr>
          <w:rFonts w:ascii="Arial" w:hAnsi="Arial" w:cs="Arial"/>
        </w:rPr>
        <w:object w:dxaOrig="9669" w:dyaOrig="3263" w14:anchorId="0FEA3DAE">
          <v:shape id="_x0000_i1075" type="#_x0000_t75" style="width:450.6pt;height:167.4pt" o:ole="" o:preferrelative="f">
            <v:imagedata r:id="rId128" o:title=""/>
            <o:lock v:ext="edit" aspectratio="f"/>
          </v:shape>
          <o:OLEObject Type="Embed" ProgID="Excel.Sheet.8" ShapeID="_x0000_i1075" DrawAspect="Content" ObjectID="_1551591576" r:id="rId129"/>
        </w:object>
      </w:r>
    </w:p>
    <w:p w14:paraId="3400A8DD" w14:textId="77777777" w:rsidR="00E519F8" w:rsidRPr="0088338F" w:rsidRDefault="00E519F8" w:rsidP="003C18A9">
      <w:pPr>
        <w:jc w:val="both"/>
        <w:rPr>
          <w:rFonts w:ascii="Arial" w:hAnsi="Arial" w:cs="Arial"/>
          <w:sz w:val="20"/>
          <w:szCs w:val="20"/>
        </w:rPr>
      </w:pPr>
    </w:p>
    <w:p w14:paraId="29052CFC" w14:textId="2346644C" w:rsidR="007445D1" w:rsidRPr="0088338F" w:rsidRDefault="009C4C7B" w:rsidP="007445D1">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br w:type="page"/>
      </w:r>
      <w:r w:rsidR="00D92BF1" w:rsidRPr="0088338F">
        <w:rPr>
          <w:rFonts w:ascii="Arial" w:hAnsi="Arial" w:cs="Arial"/>
          <w:b/>
          <w:caps/>
          <w:sz w:val="20"/>
          <w:szCs w:val="20"/>
        </w:rPr>
        <w:lastRenderedPageBreak/>
        <w:t>v</w:t>
      </w:r>
      <w:r w:rsidR="00A427E6" w:rsidRPr="0088338F">
        <w:rPr>
          <w:rFonts w:ascii="Arial" w:hAnsi="Arial" w:cs="Arial"/>
          <w:b/>
          <w:caps/>
          <w:sz w:val="20"/>
          <w:szCs w:val="20"/>
        </w:rPr>
        <w:t>Š</w:t>
      </w:r>
      <w:r w:rsidR="00D92BF1" w:rsidRPr="0088338F">
        <w:rPr>
          <w:rFonts w:ascii="Arial" w:hAnsi="Arial" w:cs="Arial"/>
          <w:b/>
          <w:caps/>
          <w:sz w:val="20"/>
          <w:szCs w:val="20"/>
        </w:rPr>
        <w:t>eobecné prevádzkové náklady</w:t>
      </w:r>
    </w:p>
    <w:bookmarkStart w:id="1645" w:name="_MON_1364034168"/>
    <w:bookmarkStart w:id="1646" w:name="_MON_1364034184"/>
    <w:bookmarkStart w:id="1647" w:name="_MON_1364135247"/>
    <w:bookmarkStart w:id="1648" w:name="_MON_1372081229"/>
    <w:bookmarkStart w:id="1649" w:name="_MON_1372249615"/>
    <w:bookmarkStart w:id="1650" w:name="_MON_1372250221"/>
    <w:bookmarkStart w:id="1651" w:name="_MON_1380182954"/>
    <w:bookmarkStart w:id="1652" w:name="_MON_1387460995"/>
    <w:bookmarkStart w:id="1653" w:name="_MON_1387774293"/>
    <w:bookmarkStart w:id="1654" w:name="_MON_1387778321"/>
    <w:bookmarkStart w:id="1655" w:name="_MON_1395044282"/>
    <w:bookmarkStart w:id="1656" w:name="_MON_1395656258"/>
    <w:bookmarkStart w:id="1657" w:name="_MON_1395831215"/>
    <w:bookmarkStart w:id="1658" w:name="_MON_1395831697"/>
    <w:bookmarkStart w:id="1659" w:name="_MON_1395909416"/>
    <w:bookmarkStart w:id="1660" w:name="_MON_1396090110"/>
    <w:bookmarkStart w:id="1661" w:name="_MON_1396090313"/>
    <w:bookmarkStart w:id="1662" w:name="_MON_1424764550"/>
    <w:bookmarkStart w:id="1663" w:name="_MON_1426844020"/>
    <w:bookmarkStart w:id="1664" w:name="_MON_1426853409"/>
    <w:bookmarkStart w:id="1665" w:name="_MON_1427100517"/>
    <w:bookmarkStart w:id="1666" w:name="_MON_1456743119"/>
    <w:bookmarkStart w:id="1667" w:name="_MON_1458626229"/>
    <w:bookmarkStart w:id="1668" w:name="_MON_1458626430"/>
    <w:bookmarkStart w:id="1669" w:name="_MON_1458626694"/>
    <w:bookmarkStart w:id="1670" w:name="_MON_1458626716"/>
    <w:bookmarkStart w:id="1671" w:name="_MON_1458626741"/>
    <w:bookmarkStart w:id="1672" w:name="_MON_1458715423"/>
    <w:bookmarkStart w:id="1673" w:name="_MON_1458715468"/>
    <w:bookmarkStart w:id="1674" w:name="_MON_1458732544"/>
    <w:bookmarkStart w:id="1675" w:name="_MON_1458732767"/>
    <w:bookmarkStart w:id="1676" w:name="_MON_1461478051"/>
    <w:bookmarkStart w:id="1677" w:name="_MON_1466405254"/>
    <w:bookmarkStart w:id="1678" w:name="_MON_1466405322"/>
    <w:bookmarkStart w:id="1679" w:name="_MON_1466504022"/>
    <w:bookmarkStart w:id="1680" w:name="_MON_1466504123"/>
    <w:bookmarkStart w:id="1681" w:name="_MON_1466570939"/>
    <w:bookmarkStart w:id="1682" w:name="_MON_1474355909"/>
    <w:bookmarkStart w:id="1683" w:name="_MON_1474355934"/>
    <w:bookmarkStart w:id="1684" w:name="_MON_1474356298"/>
    <w:bookmarkStart w:id="1685" w:name="_MON_1216490519"/>
    <w:bookmarkStart w:id="1686" w:name="_MON_1216491114"/>
    <w:bookmarkStart w:id="1687" w:name="_MON_1217337049"/>
    <w:bookmarkStart w:id="1688" w:name="_MON_1217339304"/>
    <w:bookmarkStart w:id="1689" w:name="_MON_1217339348"/>
    <w:bookmarkStart w:id="1690" w:name="_MON_1232017871"/>
    <w:bookmarkStart w:id="1691" w:name="_MON_1249459500"/>
    <w:bookmarkStart w:id="1692" w:name="_MON_1249584571"/>
    <w:bookmarkStart w:id="1693" w:name="_MON_1249584591"/>
    <w:bookmarkStart w:id="1694" w:name="_MON_1249584605"/>
    <w:bookmarkStart w:id="1695" w:name="_MON_1264112835"/>
    <w:bookmarkStart w:id="1696" w:name="_MON_1264436881"/>
    <w:bookmarkStart w:id="1697" w:name="_MON_1265647509"/>
    <w:bookmarkStart w:id="1698" w:name="_MON_1266496266"/>
    <w:bookmarkStart w:id="1699" w:name="_MON_1266498218"/>
    <w:bookmarkStart w:id="1700" w:name="_MON_1288372600"/>
    <w:bookmarkStart w:id="1701" w:name="_MON_1296819427"/>
    <w:bookmarkStart w:id="1702" w:name="_MON_1296819447"/>
    <w:bookmarkStart w:id="1703" w:name="_MON_1296820004"/>
    <w:bookmarkStart w:id="1704" w:name="_MON_1297500712"/>
    <w:bookmarkStart w:id="1705" w:name="_MON_1297522591"/>
    <w:bookmarkStart w:id="1706" w:name="_MON_1322816524"/>
    <w:bookmarkStart w:id="1707" w:name="_MON_1328443608"/>
    <w:bookmarkStart w:id="1708" w:name="_MON_1329638267"/>
    <w:bookmarkStart w:id="1709" w:name="_MON_1329638941"/>
    <w:bookmarkStart w:id="1710" w:name="_MON_1355310373"/>
    <w:bookmarkStart w:id="1711" w:name="_MON_1359437208"/>
    <w:bookmarkStart w:id="1712" w:name="_MON_1359467552"/>
    <w:bookmarkStart w:id="1713" w:name="_MON_1364033112"/>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Start w:id="1714" w:name="_MON_1364033723"/>
    <w:bookmarkEnd w:id="1714"/>
    <w:p w14:paraId="7590E3C3" w14:textId="4A7C4C26" w:rsidR="0080546E" w:rsidRPr="0088338F" w:rsidRDefault="00C433AD" w:rsidP="003C18A9">
      <w:pPr>
        <w:jc w:val="both"/>
        <w:rPr>
          <w:rFonts w:ascii="Arial" w:hAnsi="Arial" w:cs="Arial"/>
          <w:sz w:val="20"/>
        </w:rPr>
      </w:pPr>
      <w:r w:rsidRPr="0088338F">
        <w:rPr>
          <w:rFonts w:ascii="Arial" w:hAnsi="Arial" w:cs="Arial"/>
        </w:rPr>
        <w:object w:dxaOrig="9700" w:dyaOrig="5241" w14:anchorId="61C80338">
          <v:shape id="_x0000_i1076" type="#_x0000_t75" style="width:451.8pt;height:270.6pt" o:ole="" o:preferrelative="f">
            <v:imagedata r:id="rId130" o:title=""/>
            <o:lock v:ext="edit" aspectratio="f"/>
          </v:shape>
          <o:OLEObject Type="Embed" ProgID="Excel.Sheet.8" ShapeID="_x0000_i1076" DrawAspect="Content" ObjectID="_1551591577" r:id="rId131"/>
        </w:object>
      </w:r>
    </w:p>
    <w:p w14:paraId="527E9777" w14:textId="77777777" w:rsidR="007C362D" w:rsidRPr="0088338F" w:rsidRDefault="007C362D" w:rsidP="00F03BCB">
      <w:pPr>
        <w:jc w:val="both"/>
        <w:rPr>
          <w:rFonts w:ascii="Arial" w:hAnsi="Arial" w:cs="Arial"/>
          <w:sz w:val="20"/>
          <w:szCs w:val="20"/>
        </w:rPr>
      </w:pPr>
    </w:p>
    <w:p w14:paraId="5D859229" w14:textId="326430BE" w:rsidR="00623F07" w:rsidRPr="0088338F" w:rsidRDefault="00623F07" w:rsidP="00623F07">
      <w:pPr>
        <w:jc w:val="both"/>
        <w:rPr>
          <w:rFonts w:ascii="Arial" w:hAnsi="Arial" w:cs="Arial"/>
          <w:sz w:val="20"/>
          <w:szCs w:val="20"/>
        </w:rPr>
      </w:pPr>
      <w:r w:rsidRPr="0088338F">
        <w:rPr>
          <w:rFonts w:ascii="Arial" w:hAnsi="Arial" w:cs="Arial"/>
          <w:sz w:val="20"/>
          <w:szCs w:val="20"/>
        </w:rPr>
        <w:t>Priemerný počet zamestnancov počas štvrtého štvrťroka 201</w:t>
      </w:r>
      <w:r w:rsidR="002D2C6A" w:rsidRPr="0088338F">
        <w:rPr>
          <w:rFonts w:ascii="Arial" w:hAnsi="Arial" w:cs="Arial"/>
          <w:sz w:val="20"/>
          <w:szCs w:val="20"/>
        </w:rPr>
        <w:t>6</w:t>
      </w:r>
      <w:r w:rsidRPr="0088338F">
        <w:rPr>
          <w:rFonts w:ascii="Arial" w:hAnsi="Arial" w:cs="Arial"/>
          <w:sz w:val="20"/>
          <w:szCs w:val="20"/>
        </w:rPr>
        <w:t xml:space="preserve"> bol </w:t>
      </w:r>
      <w:r w:rsidR="00EC5F17" w:rsidRPr="0088338F">
        <w:rPr>
          <w:rFonts w:ascii="Arial" w:hAnsi="Arial" w:cs="Arial"/>
          <w:sz w:val="20"/>
          <w:szCs w:val="20"/>
        </w:rPr>
        <w:t>167</w:t>
      </w:r>
      <w:r w:rsidRPr="0088338F">
        <w:rPr>
          <w:rFonts w:ascii="Arial" w:hAnsi="Arial" w:cs="Arial"/>
          <w:sz w:val="20"/>
          <w:szCs w:val="20"/>
        </w:rPr>
        <w:t xml:space="preserve"> (201</w:t>
      </w:r>
      <w:r w:rsidR="002D2C6A" w:rsidRPr="0088338F">
        <w:rPr>
          <w:rFonts w:ascii="Arial" w:hAnsi="Arial" w:cs="Arial"/>
          <w:sz w:val="20"/>
          <w:szCs w:val="20"/>
        </w:rPr>
        <w:t>5</w:t>
      </w:r>
      <w:r w:rsidRPr="0088338F">
        <w:rPr>
          <w:rFonts w:ascii="Arial" w:hAnsi="Arial" w:cs="Arial"/>
          <w:sz w:val="20"/>
          <w:szCs w:val="20"/>
        </w:rPr>
        <w:t>: 1</w:t>
      </w:r>
      <w:r w:rsidR="002D2C6A" w:rsidRPr="0088338F">
        <w:rPr>
          <w:rFonts w:ascii="Arial" w:hAnsi="Arial" w:cs="Arial"/>
          <w:sz w:val="20"/>
          <w:szCs w:val="20"/>
        </w:rPr>
        <w:t>67</w:t>
      </w:r>
      <w:r w:rsidRPr="0088338F">
        <w:rPr>
          <w:rFonts w:ascii="Arial" w:hAnsi="Arial" w:cs="Arial"/>
          <w:sz w:val="20"/>
          <w:szCs w:val="20"/>
        </w:rPr>
        <w:t>). Počet zamestnancov k 31. decembru 201</w:t>
      </w:r>
      <w:r w:rsidR="002D2C6A" w:rsidRPr="0088338F">
        <w:rPr>
          <w:rFonts w:ascii="Arial" w:hAnsi="Arial" w:cs="Arial"/>
          <w:sz w:val="20"/>
          <w:szCs w:val="20"/>
        </w:rPr>
        <w:t>6</w:t>
      </w:r>
      <w:r w:rsidRPr="0088338F">
        <w:rPr>
          <w:rFonts w:ascii="Arial" w:hAnsi="Arial" w:cs="Arial"/>
          <w:sz w:val="20"/>
          <w:szCs w:val="20"/>
        </w:rPr>
        <w:t xml:space="preserve"> bol </w:t>
      </w:r>
      <w:r w:rsidR="00EC5F17" w:rsidRPr="0088338F">
        <w:rPr>
          <w:rFonts w:ascii="Arial" w:hAnsi="Arial" w:cs="Arial"/>
          <w:sz w:val="20"/>
          <w:szCs w:val="20"/>
        </w:rPr>
        <w:t>16</w:t>
      </w:r>
      <w:r w:rsidR="007445D1" w:rsidRPr="0088338F">
        <w:rPr>
          <w:rFonts w:ascii="Arial" w:hAnsi="Arial" w:cs="Arial"/>
          <w:sz w:val="20"/>
          <w:szCs w:val="20"/>
        </w:rPr>
        <w:t>8</w:t>
      </w:r>
      <w:r w:rsidRPr="0088338F">
        <w:rPr>
          <w:rFonts w:ascii="Arial" w:hAnsi="Arial" w:cs="Arial"/>
          <w:sz w:val="20"/>
          <w:szCs w:val="20"/>
        </w:rPr>
        <w:t xml:space="preserve"> (201</w:t>
      </w:r>
      <w:r w:rsidR="002D2C6A" w:rsidRPr="0088338F">
        <w:rPr>
          <w:rFonts w:ascii="Arial" w:hAnsi="Arial" w:cs="Arial"/>
          <w:sz w:val="20"/>
          <w:szCs w:val="20"/>
        </w:rPr>
        <w:t>5</w:t>
      </w:r>
      <w:r w:rsidRPr="0088338F">
        <w:rPr>
          <w:rFonts w:ascii="Arial" w:hAnsi="Arial" w:cs="Arial"/>
          <w:sz w:val="20"/>
          <w:szCs w:val="20"/>
        </w:rPr>
        <w:t>: 1</w:t>
      </w:r>
      <w:r w:rsidR="006A668D" w:rsidRPr="0088338F">
        <w:rPr>
          <w:rFonts w:ascii="Arial" w:hAnsi="Arial" w:cs="Arial"/>
          <w:sz w:val="20"/>
          <w:szCs w:val="20"/>
        </w:rPr>
        <w:t>6</w:t>
      </w:r>
      <w:r w:rsidR="002D2C6A" w:rsidRPr="0088338F">
        <w:rPr>
          <w:rFonts w:ascii="Arial" w:hAnsi="Arial" w:cs="Arial"/>
          <w:sz w:val="20"/>
          <w:szCs w:val="20"/>
        </w:rPr>
        <w:t>6</w:t>
      </w:r>
      <w:r w:rsidRPr="0088338F">
        <w:rPr>
          <w:rFonts w:ascii="Arial" w:hAnsi="Arial" w:cs="Arial"/>
          <w:sz w:val="20"/>
          <w:szCs w:val="20"/>
        </w:rPr>
        <w:t>). Počet vedúcich zamestnancov k</w:t>
      </w:r>
      <w:r w:rsidR="00BC74FC" w:rsidRPr="0088338F">
        <w:rPr>
          <w:rFonts w:ascii="Arial" w:hAnsi="Arial" w:cs="Arial"/>
          <w:sz w:val="20"/>
          <w:szCs w:val="20"/>
        </w:rPr>
        <w:t> 31. </w:t>
      </w:r>
      <w:r w:rsidRPr="0088338F">
        <w:rPr>
          <w:rFonts w:ascii="Arial" w:hAnsi="Arial" w:cs="Arial"/>
          <w:sz w:val="20"/>
          <w:szCs w:val="20"/>
        </w:rPr>
        <w:t>decembru 201</w:t>
      </w:r>
      <w:r w:rsidR="002D2C6A" w:rsidRPr="0088338F">
        <w:rPr>
          <w:rFonts w:ascii="Arial" w:hAnsi="Arial" w:cs="Arial"/>
          <w:sz w:val="20"/>
          <w:szCs w:val="20"/>
        </w:rPr>
        <w:t>6</w:t>
      </w:r>
      <w:r w:rsidRPr="0088338F">
        <w:rPr>
          <w:rFonts w:ascii="Arial" w:hAnsi="Arial" w:cs="Arial"/>
          <w:sz w:val="20"/>
          <w:szCs w:val="20"/>
        </w:rPr>
        <w:t xml:space="preserve"> bol 6 (201</w:t>
      </w:r>
      <w:r w:rsidR="002D2C6A" w:rsidRPr="0088338F">
        <w:rPr>
          <w:rFonts w:ascii="Arial" w:hAnsi="Arial" w:cs="Arial"/>
          <w:sz w:val="20"/>
          <w:szCs w:val="20"/>
        </w:rPr>
        <w:t>5</w:t>
      </w:r>
      <w:r w:rsidRPr="0088338F">
        <w:rPr>
          <w:rFonts w:ascii="Arial" w:hAnsi="Arial" w:cs="Arial"/>
          <w:sz w:val="20"/>
          <w:szCs w:val="20"/>
        </w:rPr>
        <w:t>: 6).</w:t>
      </w:r>
    </w:p>
    <w:p w14:paraId="6845183E" w14:textId="77777777" w:rsidR="004B4462" w:rsidRPr="0088338F" w:rsidRDefault="004B4462" w:rsidP="006A0B29">
      <w:pPr>
        <w:jc w:val="both"/>
        <w:rPr>
          <w:rFonts w:ascii="Arial" w:hAnsi="Arial" w:cs="Arial"/>
          <w:sz w:val="20"/>
        </w:rPr>
      </w:pPr>
    </w:p>
    <w:p w14:paraId="3DBFEB33" w14:textId="6732BAD6" w:rsidR="004A0CB1" w:rsidRPr="0088338F" w:rsidRDefault="004A0CB1" w:rsidP="009C7B7E">
      <w:pPr>
        <w:jc w:val="both"/>
        <w:rPr>
          <w:rFonts w:ascii="Arial" w:hAnsi="Arial" w:cs="Arial"/>
          <w:sz w:val="20"/>
        </w:rPr>
      </w:pPr>
      <w:r w:rsidRPr="0088338F">
        <w:rPr>
          <w:rFonts w:ascii="Arial" w:hAnsi="Arial" w:cs="Arial"/>
          <w:sz w:val="20"/>
        </w:rPr>
        <w:t>Od 1. januára 2012 majú banky a pobočky zahraničných bánk na Slovensku povinnosť platenia osobitného odvodu (tzv. banková daň) podľa zákona č. 384/2011 Z.z. o osobitnom odvode vybraných finančných inštitúcií a o doplnení niektorých zákonov v znení neskoršíc</w:t>
      </w:r>
      <w:r w:rsidR="00BC74FC" w:rsidRPr="0088338F">
        <w:rPr>
          <w:rFonts w:ascii="Arial" w:hAnsi="Arial" w:cs="Arial"/>
          <w:sz w:val="20"/>
        </w:rPr>
        <w:t>h predpisov (ďalej len „zákon o </w:t>
      </w:r>
      <w:r w:rsidRPr="0088338F">
        <w:rPr>
          <w:rFonts w:ascii="Arial" w:hAnsi="Arial" w:cs="Arial"/>
          <w:sz w:val="20"/>
        </w:rPr>
        <w:t>osobitnom odvode”). Banky a pobočky zahraničných bánk sú po</w:t>
      </w:r>
      <w:r w:rsidR="00BC74FC" w:rsidRPr="0088338F">
        <w:rPr>
          <w:rFonts w:ascii="Arial" w:hAnsi="Arial" w:cs="Arial"/>
          <w:sz w:val="20"/>
        </w:rPr>
        <w:t>vinné uhrádzať osobitný odvod v </w:t>
      </w:r>
      <w:r w:rsidRPr="0088338F">
        <w:rPr>
          <w:rFonts w:ascii="Arial" w:hAnsi="Arial" w:cs="Arial"/>
          <w:sz w:val="20"/>
        </w:rPr>
        <w:t>štyroch štvrťročných splátkach vo výške jednej štvrtiny ročnej sadzby (ročná sadzba 0,</w:t>
      </w:r>
      <w:r w:rsidR="00103D1E" w:rsidRPr="0088338F">
        <w:rPr>
          <w:rFonts w:ascii="Arial" w:hAnsi="Arial" w:cs="Arial"/>
          <w:sz w:val="20"/>
        </w:rPr>
        <w:t>2</w:t>
      </w:r>
      <w:r w:rsidR="00532764" w:rsidRPr="0088338F">
        <w:rPr>
          <w:rFonts w:ascii="Arial" w:hAnsi="Arial" w:cs="Arial"/>
          <w:sz w:val="20"/>
        </w:rPr>
        <w:t xml:space="preserve"> </w:t>
      </w:r>
      <w:r w:rsidRPr="0088338F">
        <w:rPr>
          <w:rFonts w:ascii="Arial" w:hAnsi="Arial" w:cs="Arial"/>
          <w:sz w:val="20"/>
        </w:rPr>
        <w:t>%</w:t>
      </w:r>
      <w:r w:rsidR="00103D1E" w:rsidRPr="0088338F">
        <w:rPr>
          <w:rFonts w:ascii="Arial" w:hAnsi="Arial" w:cs="Arial"/>
          <w:sz w:val="20"/>
        </w:rPr>
        <w:t xml:space="preserve"> (201</w:t>
      </w:r>
      <w:r w:rsidR="002D2C6A" w:rsidRPr="0088338F">
        <w:rPr>
          <w:rFonts w:ascii="Arial" w:hAnsi="Arial" w:cs="Arial"/>
          <w:sz w:val="20"/>
        </w:rPr>
        <w:t>5</w:t>
      </w:r>
      <w:r w:rsidR="00103D1E" w:rsidRPr="0088338F">
        <w:rPr>
          <w:rFonts w:ascii="Arial" w:hAnsi="Arial" w:cs="Arial"/>
          <w:sz w:val="20"/>
        </w:rPr>
        <w:t>: 0,</w:t>
      </w:r>
      <w:r w:rsidR="002D2C6A" w:rsidRPr="0088338F">
        <w:rPr>
          <w:rFonts w:ascii="Arial" w:hAnsi="Arial" w:cs="Arial"/>
          <w:sz w:val="20"/>
        </w:rPr>
        <w:t>2</w:t>
      </w:r>
      <w:r w:rsidR="00103D1E" w:rsidRPr="0088338F">
        <w:rPr>
          <w:rFonts w:ascii="Arial" w:hAnsi="Arial" w:cs="Arial"/>
          <w:sz w:val="20"/>
        </w:rPr>
        <w:t>%</w:t>
      </w:r>
      <w:r w:rsidRPr="0088338F">
        <w:rPr>
          <w:rFonts w:ascii="Arial" w:hAnsi="Arial" w:cs="Arial"/>
          <w:sz w:val="20"/>
        </w:rPr>
        <w:t>)</w:t>
      </w:r>
      <w:r w:rsidR="00AC1E80" w:rsidRPr="0088338F">
        <w:rPr>
          <w:rFonts w:ascii="Arial" w:hAnsi="Arial" w:cs="Arial"/>
          <w:sz w:val="20"/>
        </w:rPr>
        <w:t>)</w:t>
      </w:r>
      <w:r w:rsidRPr="0088338F">
        <w:rPr>
          <w:rFonts w:ascii="Arial" w:hAnsi="Arial" w:cs="Arial"/>
          <w:sz w:val="20"/>
        </w:rPr>
        <w:t xml:space="preserve"> zo sumy záväzkov banky definovaných zákonom o osobitnom odvode.</w:t>
      </w:r>
    </w:p>
    <w:p w14:paraId="06AED3DB" w14:textId="77777777" w:rsidR="004A0CB1" w:rsidRPr="0088338F" w:rsidRDefault="004A0CB1" w:rsidP="006A0B29">
      <w:pPr>
        <w:jc w:val="both"/>
        <w:rPr>
          <w:rFonts w:ascii="Arial" w:hAnsi="Arial" w:cs="Arial"/>
          <w:sz w:val="20"/>
        </w:rPr>
      </w:pPr>
    </w:p>
    <w:p w14:paraId="7C02213E" w14:textId="0884E313" w:rsidR="00044E66" w:rsidRPr="0088338F" w:rsidRDefault="001433F2" w:rsidP="006A0B29">
      <w:pPr>
        <w:jc w:val="both"/>
        <w:rPr>
          <w:rFonts w:ascii="Arial" w:hAnsi="Arial" w:cs="Arial"/>
          <w:sz w:val="20"/>
        </w:rPr>
      </w:pPr>
      <w:r w:rsidRPr="0088338F">
        <w:rPr>
          <w:rFonts w:ascii="Arial" w:hAnsi="Arial" w:cs="Arial"/>
          <w:sz w:val="20"/>
        </w:rPr>
        <w:t xml:space="preserve">Povinnosť bánk uhrádzať Fondu ochrany vkladov ročný príspevok vyplýva  z ustanovenia </w:t>
      </w:r>
      <w:r w:rsidR="00453397" w:rsidRPr="0088338F">
        <w:rPr>
          <w:rFonts w:ascii="Arial" w:hAnsi="Arial" w:cs="Arial"/>
          <w:sz w:val="20"/>
        </w:rPr>
        <w:t xml:space="preserve">§ </w:t>
      </w:r>
      <w:r w:rsidRPr="0088338F">
        <w:rPr>
          <w:rFonts w:ascii="Arial" w:hAnsi="Arial" w:cs="Arial"/>
          <w:sz w:val="20"/>
        </w:rPr>
        <w:t>5 ods. 1 písm. b) zákona NR SR č.118/1996 Z.z. o ochrane vkladov a o zmene a doplnení niektorých zákonov v znení neskorších predpisov. Výšku ročného príspevku na kalendárny rok 201</w:t>
      </w:r>
      <w:r w:rsidR="002D2C6A" w:rsidRPr="0088338F">
        <w:rPr>
          <w:rFonts w:ascii="Arial" w:hAnsi="Arial" w:cs="Arial"/>
          <w:sz w:val="20"/>
        </w:rPr>
        <w:t>6</w:t>
      </w:r>
      <w:r w:rsidRPr="0088338F">
        <w:rPr>
          <w:rFonts w:ascii="Arial" w:hAnsi="Arial" w:cs="Arial"/>
          <w:sz w:val="20"/>
        </w:rPr>
        <w:t xml:space="preserve"> stanovila Rada Fondu ochrany vkladov uznesením č.</w:t>
      </w:r>
      <w:r w:rsidR="00900DAA" w:rsidRPr="0088338F">
        <w:rPr>
          <w:rFonts w:ascii="Arial" w:hAnsi="Arial" w:cs="Arial"/>
          <w:sz w:val="20"/>
        </w:rPr>
        <w:t>1</w:t>
      </w:r>
      <w:r w:rsidRPr="0088338F">
        <w:rPr>
          <w:rFonts w:ascii="Arial" w:hAnsi="Arial" w:cs="Arial"/>
          <w:sz w:val="20"/>
        </w:rPr>
        <w:t xml:space="preserve"> zo dňa </w:t>
      </w:r>
      <w:r w:rsidR="00900DAA" w:rsidRPr="0088338F">
        <w:rPr>
          <w:rFonts w:ascii="Arial" w:hAnsi="Arial" w:cs="Arial"/>
          <w:sz w:val="20"/>
        </w:rPr>
        <w:t>18</w:t>
      </w:r>
      <w:r w:rsidRPr="0088338F">
        <w:rPr>
          <w:rFonts w:ascii="Arial" w:hAnsi="Arial" w:cs="Arial"/>
          <w:sz w:val="20"/>
        </w:rPr>
        <w:t>.</w:t>
      </w:r>
      <w:r w:rsidR="00900DAA" w:rsidRPr="0088338F">
        <w:rPr>
          <w:rFonts w:ascii="Arial" w:hAnsi="Arial" w:cs="Arial"/>
          <w:sz w:val="20"/>
        </w:rPr>
        <w:t>02</w:t>
      </w:r>
      <w:r w:rsidRPr="0088338F">
        <w:rPr>
          <w:rFonts w:ascii="Arial" w:hAnsi="Arial" w:cs="Arial"/>
          <w:sz w:val="20"/>
        </w:rPr>
        <w:t>.201</w:t>
      </w:r>
      <w:r w:rsidR="00900DAA" w:rsidRPr="0088338F">
        <w:rPr>
          <w:rFonts w:ascii="Arial" w:hAnsi="Arial" w:cs="Arial"/>
          <w:sz w:val="20"/>
        </w:rPr>
        <w:t>6</w:t>
      </w:r>
      <w:r w:rsidRPr="0088338F">
        <w:rPr>
          <w:rFonts w:ascii="Arial" w:hAnsi="Arial" w:cs="Arial"/>
          <w:sz w:val="20"/>
        </w:rPr>
        <w:t xml:space="preserve"> a určila v zmysle </w:t>
      </w:r>
      <w:r w:rsidR="00E66ABB" w:rsidRPr="0088338F">
        <w:rPr>
          <w:rFonts w:ascii="Arial" w:hAnsi="Arial" w:cs="Arial"/>
          <w:sz w:val="20"/>
        </w:rPr>
        <w:t>§</w:t>
      </w:r>
      <w:r w:rsidRPr="0088338F">
        <w:rPr>
          <w:rFonts w:ascii="Arial" w:hAnsi="Arial" w:cs="Arial"/>
          <w:sz w:val="20"/>
        </w:rPr>
        <w:t xml:space="preserve"> 6 ods. 2 zákona o ochrane vkladov pre banky ročný príspevok na rok 201</w:t>
      </w:r>
      <w:r w:rsidR="002D2C6A" w:rsidRPr="0088338F">
        <w:rPr>
          <w:rFonts w:ascii="Arial" w:hAnsi="Arial" w:cs="Arial"/>
          <w:sz w:val="20"/>
        </w:rPr>
        <w:t>6</w:t>
      </w:r>
      <w:r w:rsidRPr="0088338F">
        <w:rPr>
          <w:rFonts w:ascii="Arial" w:hAnsi="Arial" w:cs="Arial"/>
          <w:sz w:val="20"/>
        </w:rPr>
        <w:t xml:space="preserve"> vo výške 0,03%, čo predstavuje 0,0075% z priemerného stavu zákonom chránených vkladov za štvrťrok.</w:t>
      </w:r>
    </w:p>
    <w:p w14:paraId="78C23990" w14:textId="77777777" w:rsidR="00044E66" w:rsidRPr="0088338F" w:rsidRDefault="00044E66" w:rsidP="006A0B29">
      <w:pPr>
        <w:jc w:val="both"/>
        <w:rPr>
          <w:rFonts w:ascii="Arial" w:hAnsi="Arial" w:cs="Arial"/>
          <w:sz w:val="20"/>
        </w:rPr>
      </w:pPr>
    </w:p>
    <w:p w14:paraId="643DE2C4" w14:textId="1439818F" w:rsidR="00E52202" w:rsidRPr="0088338F" w:rsidRDefault="00E52202" w:rsidP="006A0B29">
      <w:pPr>
        <w:jc w:val="both"/>
        <w:rPr>
          <w:rFonts w:ascii="Arial" w:hAnsi="Arial" w:cs="Arial"/>
          <w:sz w:val="20"/>
        </w:rPr>
      </w:pPr>
      <w:r w:rsidRPr="0088338F">
        <w:rPr>
          <w:rFonts w:ascii="Arial" w:hAnsi="Arial" w:cs="Arial"/>
          <w:sz w:val="20"/>
        </w:rPr>
        <w:t xml:space="preserve">Od roku 2015 majú vybrané inštitúcie povinnosť </w:t>
      </w:r>
      <w:r w:rsidR="00453397" w:rsidRPr="0088338F">
        <w:rPr>
          <w:rFonts w:ascii="Arial" w:hAnsi="Arial" w:cs="Arial"/>
          <w:sz w:val="20"/>
        </w:rPr>
        <w:t>odvádzať príspevky do Národného fondu pre riešenie krízových situácií v zmysle zákona č. 371/2014 Z.z. o riešení krízových situácií na finančnom trhu a o zmene a doplnení niektorých zákonov</w:t>
      </w:r>
      <w:r w:rsidR="00051D3A" w:rsidRPr="0088338F">
        <w:rPr>
          <w:rFonts w:ascii="Arial" w:hAnsi="Arial" w:cs="Arial"/>
          <w:sz w:val="20"/>
        </w:rPr>
        <w:t xml:space="preserve"> v znení neskorších predpisov</w:t>
      </w:r>
      <w:r w:rsidR="00453397" w:rsidRPr="0088338F">
        <w:rPr>
          <w:rFonts w:ascii="Arial" w:hAnsi="Arial" w:cs="Arial"/>
          <w:sz w:val="20"/>
        </w:rPr>
        <w:t xml:space="preserve">. Ročný príspevok </w:t>
      </w:r>
      <w:r w:rsidR="000E1EB9" w:rsidRPr="0088338F">
        <w:rPr>
          <w:rFonts w:ascii="Arial" w:hAnsi="Arial" w:cs="Arial"/>
          <w:sz w:val="20"/>
        </w:rPr>
        <w:t xml:space="preserve">pre každú vybranú inštitúciu </w:t>
      </w:r>
      <w:r w:rsidR="00453397" w:rsidRPr="0088338F">
        <w:rPr>
          <w:rFonts w:ascii="Arial" w:hAnsi="Arial" w:cs="Arial"/>
          <w:sz w:val="20"/>
        </w:rPr>
        <w:t>sa vypočíta ako pomer záväzkov vybranej inštitúcie znížených o vlastné zdroje vybranej inštitúcie a kryté vklady k záväzkom všetkých vybraných inštitúcií vykonávajúcich činnosti na území Slovenskej republiky znížených o hodnotu vlastných zdrojov a krytých vkladov všetkých vybraných inštitúcií vykonávajúcich činnosti na území Slovenskej republiky. Pri výpočte ročného príspevku sa zohľadnia fáz</w:t>
      </w:r>
      <w:r w:rsidR="00640F3C" w:rsidRPr="0088338F">
        <w:rPr>
          <w:rFonts w:ascii="Arial" w:hAnsi="Arial" w:cs="Arial"/>
          <w:sz w:val="20"/>
        </w:rPr>
        <w:t>y</w:t>
      </w:r>
      <w:r w:rsidR="00453397" w:rsidRPr="0088338F">
        <w:rPr>
          <w:rFonts w:ascii="Arial" w:hAnsi="Arial" w:cs="Arial"/>
          <w:sz w:val="20"/>
        </w:rPr>
        <w:t xml:space="preserve"> obchodného cyklu a možný procyklický vplyv na finančnú pozíciu prispievajúcej vybranej inštitúcie a rizikový profil vybranej inštitúcie.</w:t>
      </w:r>
    </w:p>
    <w:p w14:paraId="35315A76" w14:textId="77777777" w:rsidR="00E52202" w:rsidRPr="0088338F" w:rsidRDefault="00E52202" w:rsidP="006A0B29">
      <w:pPr>
        <w:jc w:val="both"/>
        <w:rPr>
          <w:rFonts w:ascii="Arial" w:hAnsi="Arial" w:cs="Arial"/>
          <w:sz w:val="20"/>
        </w:rPr>
      </w:pPr>
    </w:p>
    <w:p w14:paraId="49E37426" w14:textId="77777777" w:rsidR="004E1719" w:rsidRPr="0088338F" w:rsidRDefault="004E1719">
      <w:pPr>
        <w:rPr>
          <w:rFonts w:ascii="Arial" w:hAnsi="Arial" w:cs="Arial"/>
          <w:sz w:val="20"/>
        </w:rPr>
      </w:pPr>
      <w:r w:rsidRPr="0088338F">
        <w:rPr>
          <w:rFonts w:ascii="Arial" w:hAnsi="Arial" w:cs="Arial"/>
          <w:sz w:val="20"/>
        </w:rPr>
        <w:br w:type="page"/>
      </w:r>
    </w:p>
    <w:p w14:paraId="4E2734D6" w14:textId="11F04714" w:rsidR="006A0B29" w:rsidRPr="0088338F" w:rsidRDefault="006A0B29" w:rsidP="006A0B29">
      <w:pPr>
        <w:jc w:val="both"/>
        <w:rPr>
          <w:rFonts w:ascii="Arial" w:hAnsi="Arial" w:cs="Arial"/>
          <w:sz w:val="20"/>
        </w:rPr>
      </w:pPr>
      <w:r w:rsidRPr="0088338F">
        <w:rPr>
          <w:rFonts w:ascii="Arial" w:hAnsi="Arial" w:cs="Arial"/>
          <w:sz w:val="20"/>
        </w:rPr>
        <w:lastRenderedPageBreak/>
        <w:t>Banka nemá iný systém dôchodkového zabezpečenia okrem štátneho povinného dôchodkového zabezpečenia. Podľa slovenských právnych predpisov je zamestnávateľ povinný odvádzať poistné na sociálne poistenie, nemocenské poistenie, zdravotné poistenie, úrazové poistenie, poistenie v nezamestnanosti a príspevok do garančného fondu stanovený ako percento z vymeriavacieho základu. Uvedené náklady sa vykazujú vo výkaze ziskov a strát v období, za ktoré zamestnancovi vznikol nárok na mzdu.</w:t>
      </w:r>
    </w:p>
    <w:p w14:paraId="5122C265" w14:textId="77777777" w:rsidR="00DD352F" w:rsidRPr="0088338F" w:rsidRDefault="00DD352F" w:rsidP="006A0B29">
      <w:pPr>
        <w:jc w:val="both"/>
        <w:rPr>
          <w:rFonts w:ascii="Arial" w:hAnsi="Arial" w:cs="Arial"/>
          <w:sz w:val="20"/>
        </w:rPr>
      </w:pPr>
    </w:p>
    <w:p w14:paraId="3D886F90" w14:textId="77777777" w:rsidR="00DD352F" w:rsidRPr="0088338F" w:rsidRDefault="00DD352F" w:rsidP="006A0B29">
      <w:pPr>
        <w:jc w:val="both"/>
        <w:rPr>
          <w:rFonts w:ascii="Arial" w:hAnsi="Arial" w:cs="Arial"/>
          <w:sz w:val="20"/>
        </w:rPr>
      </w:pPr>
    </w:p>
    <w:p w14:paraId="362CBD1B" w14:textId="35EBC440" w:rsidR="00D162CE" w:rsidRPr="0088338F" w:rsidRDefault="00E325B2"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tvorba</w:t>
      </w:r>
      <w:r w:rsidR="00BC74FC" w:rsidRPr="0088338F">
        <w:rPr>
          <w:rFonts w:ascii="Arial" w:hAnsi="Arial" w:cs="Arial"/>
          <w:b/>
          <w:caps/>
          <w:sz w:val="20"/>
          <w:szCs w:val="20"/>
        </w:rPr>
        <w:t>/</w:t>
      </w:r>
      <w:r w:rsidR="00623F07" w:rsidRPr="0088338F">
        <w:rPr>
          <w:rFonts w:ascii="Arial" w:hAnsi="Arial" w:cs="Arial"/>
          <w:b/>
          <w:caps/>
          <w:sz w:val="20"/>
          <w:szCs w:val="20"/>
        </w:rPr>
        <w:t xml:space="preserve">rozpustenie </w:t>
      </w:r>
      <w:r w:rsidRPr="0088338F">
        <w:rPr>
          <w:rFonts w:ascii="Arial" w:hAnsi="Arial" w:cs="Arial"/>
          <w:b/>
          <w:caps/>
          <w:sz w:val="20"/>
          <w:szCs w:val="20"/>
        </w:rPr>
        <w:t>opravných položiek, odpísanie a postúpenie pohľadávok</w:t>
      </w:r>
    </w:p>
    <w:bookmarkStart w:id="1715" w:name="_MON_1328444405"/>
    <w:bookmarkStart w:id="1716" w:name="_MON_1329566170"/>
    <w:bookmarkStart w:id="1717" w:name="_MON_1329978440"/>
    <w:bookmarkStart w:id="1718" w:name="_MON_1355310451"/>
    <w:bookmarkStart w:id="1719" w:name="_MON_1359378332"/>
    <w:bookmarkStart w:id="1720" w:name="_MON_1359378391"/>
    <w:bookmarkStart w:id="1721" w:name="_MON_1359378563"/>
    <w:bookmarkStart w:id="1722" w:name="_MON_1364034393"/>
    <w:bookmarkStart w:id="1723" w:name="_MON_1364034437"/>
    <w:bookmarkStart w:id="1724" w:name="_MON_1364034466"/>
    <w:bookmarkStart w:id="1725" w:name="_MON_1364034518"/>
    <w:bookmarkStart w:id="1726" w:name="_MON_1364034589"/>
    <w:bookmarkStart w:id="1727" w:name="_MON_1364034647"/>
    <w:bookmarkStart w:id="1728" w:name="_MON_1364034689"/>
    <w:bookmarkStart w:id="1729" w:name="_MON_1364034926"/>
    <w:bookmarkStart w:id="1730" w:name="_MON_1364035202"/>
    <w:bookmarkStart w:id="1731" w:name="_MON_1372081490"/>
    <w:bookmarkStart w:id="1732" w:name="_MON_1372081661"/>
    <w:bookmarkStart w:id="1733" w:name="_MON_1380183514"/>
    <w:bookmarkStart w:id="1734" w:name="_MON_1380183562"/>
    <w:bookmarkStart w:id="1735" w:name="_MON_1380183752"/>
    <w:bookmarkStart w:id="1736" w:name="_MON_1387461330"/>
    <w:bookmarkStart w:id="1737" w:name="_MON_1387461467"/>
    <w:bookmarkStart w:id="1738" w:name="_MON_1387461831"/>
    <w:bookmarkStart w:id="1739" w:name="_MON_1395044464"/>
    <w:bookmarkStart w:id="1740" w:name="_MON_1395044498"/>
    <w:bookmarkStart w:id="1741" w:name="_MON_1395747405"/>
    <w:bookmarkStart w:id="1742" w:name="_MON_1395909543"/>
    <w:bookmarkStart w:id="1743" w:name="_MON_1396090345"/>
    <w:bookmarkStart w:id="1744" w:name="_MON_1424765127"/>
    <w:bookmarkStart w:id="1745" w:name="_MON_1424765215"/>
    <w:bookmarkStart w:id="1746" w:name="_MON_1427001348"/>
    <w:bookmarkStart w:id="1747" w:name="_MON_1427001416"/>
    <w:bookmarkStart w:id="1748" w:name="_MON_1427003089"/>
    <w:bookmarkStart w:id="1749" w:name="_MON_1427003967"/>
    <w:bookmarkStart w:id="1750" w:name="_MON_1427004084"/>
    <w:bookmarkStart w:id="1751" w:name="_MON_1427100696"/>
    <w:bookmarkStart w:id="1752" w:name="_MON_1427100705"/>
    <w:bookmarkStart w:id="1753" w:name="_MON_1456743340"/>
    <w:bookmarkStart w:id="1754" w:name="_MON_1458628799"/>
    <w:bookmarkStart w:id="1755" w:name="_MON_1458629232"/>
    <w:bookmarkStart w:id="1756" w:name="_MON_1459066320"/>
    <w:bookmarkStart w:id="1757" w:name="_MON_1461478207"/>
    <w:bookmarkStart w:id="1758" w:name="_MON_1461478247"/>
    <w:bookmarkStart w:id="1759" w:name="_MON_1466422093"/>
    <w:bookmarkStart w:id="1760" w:name="_MON_1216491109"/>
    <w:bookmarkStart w:id="1761" w:name="_MON_1216491171"/>
    <w:bookmarkStart w:id="1762" w:name="_MON_1217337069"/>
    <w:bookmarkStart w:id="1763" w:name="_MON_1217339497"/>
    <w:bookmarkStart w:id="1764" w:name="_MON_1232018141"/>
    <w:bookmarkStart w:id="1765" w:name="_MON_1232101258"/>
    <w:bookmarkStart w:id="1766" w:name="_MON_1232829522"/>
    <w:bookmarkStart w:id="1767" w:name="_MON_1249396517"/>
    <w:bookmarkStart w:id="1768" w:name="_MON_1249584657"/>
    <w:bookmarkStart w:id="1769" w:name="_MON_1249584772"/>
    <w:bookmarkStart w:id="1770" w:name="_MON_1249584796"/>
    <w:bookmarkStart w:id="1771" w:name="_MON_1264113316"/>
    <w:bookmarkStart w:id="1772" w:name="_MON_1264407569"/>
    <w:bookmarkStart w:id="1773" w:name="_MON_1264407656"/>
    <w:bookmarkStart w:id="1774" w:name="_MON_1264416405"/>
    <w:bookmarkStart w:id="1775" w:name="_MON_1265645710"/>
    <w:bookmarkStart w:id="1776" w:name="_MON_1266496275"/>
    <w:bookmarkStart w:id="1777" w:name="_MON_1267004270"/>
    <w:bookmarkStart w:id="1778" w:name="_MON_1267087827"/>
    <w:bookmarkStart w:id="1779" w:name="_MON_1267087838"/>
    <w:bookmarkStart w:id="1780" w:name="_MON_1288372669"/>
    <w:bookmarkStart w:id="1781" w:name="_MON_1296820220"/>
    <w:bookmarkStart w:id="1782" w:name="_MON_1296820316"/>
    <w:bookmarkStart w:id="1783" w:name="_MON_1296820338"/>
    <w:bookmarkStart w:id="1784" w:name="_MON_1296946909"/>
    <w:bookmarkStart w:id="1785" w:name="_MON_1298355127"/>
    <w:bookmarkStart w:id="1786" w:name="_MON_1322816615"/>
    <w:bookmarkStart w:id="1787" w:name="_MON_1322816783"/>
    <w:bookmarkStart w:id="1788" w:name="_MON_1322816833"/>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Start w:id="1789" w:name="_MON_1328343809"/>
    <w:bookmarkEnd w:id="1789"/>
    <w:p w14:paraId="6D5F8DD2" w14:textId="3F9D0C52" w:rsidR="0031014D" w:rsidRPr="0088338F" w:rsidRDefault="0088338F" w:rsidP="003C18A9">
      <w:pPr>
        <w:jc w:val="both"/>
        <w:rPr>
          <w:rFonts w:ascii="Arial" w:hAnsi="Arial" w:cs="Arial"/>
          <w:sz w:val="20"/>
          <w:szCs w:val="20"/>
        </w:rPr>
      </w:pPr>
      <w:r w:rsidRPr="0088338F">
        <w:rPr>
          <w:rFonts w:ascii="Arial" w:hAnsi="Arial" w:cs="Arial"/>
        </w:rPr>
        <w:object w:dxaOrig="9694" w:dyaOrig="2275" w14:anchorId="3E7DE234">
          <v:shape id="_x0000_i1077" type="#_x0000_t75" style="width:451.8pt;height:117pt" o:ole="" o:preferrelative="f">
            <v:imagedata r:id="rId132" o:title=""/>
            <o:lock v:ext="edit" aspectratio="f"/>
          </v:shape>
          <o:OLEObject Type="Embed" ProgID="Excel.Sheet.8" ShapeID="_x0000_i1077" DrawAspect="Content" ObjectID="_1551591578" r:id="rId133"/>
        </w:object>
      </w:r>
    </w:p>
    <w:p w14:paraId="05D0A967" w14:textId="77777777" w:rsidR="00E13237" w:rsidRPr="0088338F" w:rsidRDefault="00E13237" w:rsidP="003C18A9">
      <w:pPr>
        <w:jc w:val="both"/>
        <w:rPr>
          <w:rFonts w:ascii="Arial" w:hAnsi="Arial" w:cs="Arial"/>
          <w:sz w:val="20"/>
          <w:szCs w:val="20"/>
        </w:rPr>
      </w:pPr>
    </w:p>
    <w:p w14:paraId="30FF8E7D" w14:textId="77777777" w:rsidR="00F32B8D" w:rsidRPr="0088338F" w:rsidRDefault="00F32B8D" w:rsidP="003C18A9">
      <w:pPr>
        <w:jc w:val="both"/>
        <w:rPr>
          <w:rFonts w:ascii="Arial" w:hAnsi="Arial" w:cs="Arial"/>
          <w:sz w:val="20"/>
          <w:szCs w:val="20"/>
        </w:rPr>
      </w:pPr>
    </w:p>
    <w:p w14:paraId="570A227B" w14:textId="77777777" w:rsidR="00522EB3" w:rsidRPr="0088338F" w:rsidRDefault="00522EB3"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zisk pred zmenami v prevádzkových aktívach a</w:t>
      </w:r>
      <w:r w:rsidR="00E13237" w:rsidRPr="0088338F">
        <w:rPr>
          <w:rFonts w:ascii="Arial" w:hAnsi="Arial" w:cs="Arial"/>
          <w:b/>
          <w:caps/>
          <w:sz w:val="20"/>
          <w:szCs w:val="20"/>
        </w:rPr>
        <w:t> </w:t>
      </w:r>
      <w:r w:rsidR="00CC2003" w:rsidRPr="0088338F">
        <w:rPr>
          <w:rFonts w:ascii="Arial" w:hAnsi="Arial" w:cs="Arial"/>
          <w:b/>
          <w:caps/>
          <w:sz w:val="20"/>
          <w:szCs w:val="20"/>
        </w:rPr>
        <w:t>záväzkoch</w:t>
      </w:r>
    </w:p>
    <w:bookmarkStart w:id="1790" w:name="_MON_1322816960"/>
    <w:bookmarkStart w:id="1791" w:name="_MON_1322817494"/>
    <w:bookmarkStart w:id="1792" w:name="_MON_1328343819"/>
    <w:bookmarkStart w:id="1793" w:name="_MON_1328444539"/>
    <w:bookmarkStart w:id="1794" w:name="_MON_1355310495"/>
    <w:bookmarkStart w:id="1795" w:name="_MON_1359136981"/>
    <w:bookmarkStart w:id="1796" w:name="_MON_1359379542"/>
    <w:bookmarkStart w:id="1797" w:name="_MON_1359379737"/>
    <w:bookmarkStart w:id="1798" w:name="_MON_1359458822"/>
    <w:bookmarkStart w:id="1799" w:name="_MON_1361184370"/>
    <w:bookmarkStart w:id="1800" w:name="_MON_1361184404"/>
    <w:bookmarkStart w:id="1801" w:name="_MON_1361184466"/>
    <w:bookmarkStart w:id="1802" w:name="_MON_1361345161"/>
    <w:bookmarkStart w:id="1803" w:name="_MON_1389889708"/>
    <w:bookmarkStart w:id="1804" w:name="_MON_1389889746"/>
    <w:bookmarkStart w:id="1805" w:name="_MON_1390630014"/>
    <w:bookmarkStart w:id="1806" w:name="_MON_1390630095"/>
    <w:bookmarkStart w:id="1807" w:name="_MON_1390630281"/>
    <w:bookmarkStart w:id="1808" w:name="_MON_1390630932"/>
    <w:bookmarkStart w:id="1809" w:name="_MON_1390630941"/>
    <w:bookmarkStart w:id="1810" w:name="_MON_1390630950"/>
    <w:bookmarkStart w:id="1811" w:name="_MON_1390892684"/>
    <w:bookmarkStart w:id="1812" w:name="_MON_1390892687"/>
    <w:bookmarkStart w:id="1813" w:name="_MON_1390892833"/>
    <w:bookmarkStart w:id="1814" w:name="_MON_1422094982"/>
    <w:bookmarkStart w:id="1815" w:name="_MON_1422259225"/>
    <w:bookmarkStart w:id="1816" w:name="_MON_1422259393"/>
    <w:bookmarkStart w:id="1817" w:name="_MON_1422259802"/>
    <w:bookmarkStart w:id="1818" w:name="_MON_1451369367"/>
    <w:bookmarkStart w:id="1819" w:name="_MON_1451369589"/>
    <w:bookmarkStart w:id="1820" w:name="_MON_1451369636"/>
    <w:bookmarkStart w:id="1821" w:name="_MON_1451718548"/>
    <w:bookmarkStart w:id="1822" w:name="_MON_1451718711"/>
    <w:bookmarkStart w:id="1823" w:name="_MON_1207051871"/>
    <w:bookmarkStart w:id="1824" w:name="_MON_1207052107"/>
    <w:bookmarkStart w:id="1825" w:name="_MON_1207052228"/>
    <w:bookmarkStart w:id="1826" w:name="_MON_1213871091"/>
    <w:bookmarkStart w:id="1827" w:name="_MON_1216491671"/>
    <w:bookmarkStart w:id="1828" w:name="_MON_1217337098"/>
    <w:bookmarkStart w:id="1829" w:name="_MON_1217339828"/>
    <w:bookmarkStart w:id="1830" w:name="_MON_1231411597"/>
    <w:bookmarkStart w:id="1831" w:name="_MON_1231411798"/>
    <w:bookmarkStart w:id="1832" w:name="_MON_1231412061"/>
    <w:bookmarkStart w:id="1833" w:name="_MON_1232019383"/>
    <w:bookmarkStart w:id="1834" w:name="_MON_1232019491"/>
    <w:bookmarkStart w:id="1835" w:name="_MON_1249396536"/>
    <w:bookmarkStart w:id="1836" w:name="_MON_1264113430"/>
    <w:bookmarkStart w:id="1837" w:name="_MON_1265803600"/>
    <w:bookmarkStart w:id="1838" w:name="_MON_1266496283"/>
    <w:bookmarkStart w:id="1839" w:name="_MON_1266498264"/>
    <w:bookmarkStart w:id="1840" w:name="_MON_1288372703"/>
    <w:bookmarkStart w:id="1841" w:name="_MON_1296820420"/>
    <w:bookmarkStart w:id="1842" w:name="_MON_1296820477"/>
    <w:bookmarkStart w:id="1843" w:name="_MON_1296820492"/>
    <w:bookmarkStart w:id="1844" w:name="_MON_1297272254"/>
    <w:bookmarkStart w:id="1845" w:name="_MON_1297272279"/>
    <w:bookmarkStart w:id="1846" w:name="_MON_1297272364"/>
    <w:bookmarkStart w:id="1847" w:name="_MON_1297272402"/>
    <w:bookmarkStart w:id="1848" w:name="_MON_1297500726"/>
    <w:bookmarkStart w:id="1849" w:name="_MON_1298101923"/>
    <w:bookmarkStart w:id="1850" w:name="_MON_1298114492"/>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Start w:id="1851" w:name="_MON_1298114637"/>
    <w:bookmarkEnd w:id="1851"/>
    <w:p w14:paraId="3AD9B70E" w14:textId="0D0F02C7" w:rsidR="002B386D" w:rsidRPr="0088338F" w:rsidRDefault="001979BA" w:rsidP="003C18A9">
      <w:pPr>
        <w:jc w:val="both"/>
        <w:rPr>
          <w:rFonts w:ascii="Arial" w:hAnsi="Arial" w:cs="Arial"/>
          <w:sz w:val="20"/>
          <w:szCs w:val="20"/>
        </w:rPr>
      </w:pPr>
      <w:r w:rsidRPr="0088338F">
        <w:rPr>
          <w:rFonts w:ascii="Arial" w:hAnsi="Arial" w:cs="Arial"/>
        </w:rPr>
        <w:object w:dxaOrig="9669" w:dyaOrig="4994" w14:anchorId="388F07C5">
          <v:shape id="_x0000_i1078" type="#_x0000_t75" style="width:455.4pt;height:264.6pt" o:ole="" o:preferrelative="f">
            <v:imagedata r:id="rId134" o:title=""/>
            <o:lock v:ext="edit" aspectratio="f"/>
          </v:shape>
          <o:OLEObject Type="Embed" ProgID="Excel.Sheet.8" ShapeID="_x0000_i1078" DrawAspect="Content" ObjectID="_1551591579" r:id="rId135"/>
        </w:object>
      </w:r>
    </w:p>
    <w:p w14:paraId="4D505CEA" w14:textId="77777777" w:rsidR="00755308" w:rsidRPr="0088338F" w:rsidRDefault="00755308" w:rsidP="003C18A9">
      <w:pPr>
        <w:jc w:val="both"/>
        <w:rPr>
          <w:rFonts w:ascii="Arial" w:hAnsi="Arial" w:cs="Arial"/>
          <w:sz w:val="20"/>
          <w:szCs w:val="20"/>
        </w:rPr>
      </w:pPr>
    </w:p>
    <w:p w14:paraId="674D065B" w14:textId="77777777" w:rsidR="004E1719" w:rsidRPr="0088338F" w:rsidRDefault="004E1719">
      <w:pPr>
        <w:rPr>
          <w:rFonts w:ascii="Arial" w:hAnsi="Arial" w:cs="Arial"/>
          <w:b/>
          <w:caps/>
          <w:sz w:val="20"/>
          <w:szCs w:val="20"/>
        </w:rPr>
      </w:pPr>
      <w:r w:rsidRPr="0088338F">
        <w:rPr>
          <w:rFonts w:ascii="Arial" w:hAnsi="Arial" w:cs="Arial"/>
          <w:b/>
          <w:caps/>
          <w:sz w:val="20"/>
          <w:szCs w:val="20"/>
        </w:rPr>
        <w:br w:type="page"/>
      </w:r>
    </w:p>
    <w:p w14:paraId="1F096C21" w14:textId="30D49B0D" w:rsidR="00064B5E" w:rsidRPr="0088338F" w:rsidRDefault="00064B5E" w:rsidP="00064B5E">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lastRenderedPageBreak/>
        <w:t>peňažné prostriedky a ich ekvivalenty</w:t>
      </w:r>
    </w:p>
    <w:bookmarkStart w:id="1852" w:name="_MON_1425192269"/>
    <w:bookmarkStart w:id="1853" w:name="_MON_1427004356"/>
    <w:bookmarkStart w:id="1854" w:name="_MON_1427100775"/>
    <w:bookmarkStart w:id="1855" w:name="_MON_1456743621"/>
    <w:bookmarkStart w:id="1856" w:name="_MON_1458628162"/>
    <w:bookmarkStart w:id="1857" w:name="_MON_1458628185"/>
    <w:bookmarkStart w:id="1858" w:name="_MON_1459074899"/>
    <w:bookmarkStart w:id="1859" w:name="_MON_1461478455"/>
    <w:bookmarkStart w:id="1860" w:name="_MON_1466497005"/>
    <w:bookmarkStart w:id="1861" w:name="_MON_1466497916"/>
    <w:bookmarkStart w:id="1862" w:name="_MON_1322817516"/>
    <w:bookmarkStart w:id="1863" w:name="_MON_1322817774"/>
    <w:bookmarkStart w:id="1864" w:name="_MON_1328444815"/>
    <w:bookmarkStart w:id="1865" w:name="_MON_1328444851"/>
    <w:bookmarkStart w:id="1866" w:name="_MON_1329566316"/>
    <w:bookmarkStart w:id="1867" w:name="_MON_1329978471"/>
    <w:bookmarkStart w:id="1868" w:name="_MON_1355310576"/>
    <w:bookmarkStart w:id="1869" w:name="_MON_1359137005"/>
    <w:bookmarkStart w:id="1870" w:name="_MON_1359378631"/>
    <w:bookmarkStart w:id="1871" w:name="_MON_1380184498"/>
    <w:bookmarkStart w:id="1872" w:name="_MON_1380184572"/>
    <w:bookmarkStart w:id="1873" w:name="_MON_1380185098"/>
    <w:bookmarkStart w:id="1874" w:name="_MON_1380185148"/>
    <w:bookmarkStart w:id="1875" w:name="_MON_1387462973"/>
    <w:bookmarkStart w:id="1876" w:name="_MON_1387463004"/>
    <w:bookmarkStart w:id="1877" w:name="_MON_1387463049"/>
    <w:bookmarkStart w:id="1878" w:name="_MON_1387622216"/>
    <w:bookmarkStart w:id="1879" w:name="_MON_1395044957"/>
    <w:bookmarkStart w:id="1880" w:name="_MON_1395749485"/>
    <w:bookmarkStart w:id="1881" w:name="_MON_1395749814"/>
    <w:bookmarkStart w:id="1882" w:name="_MON_1395749912"/>
    <w:bookmarkStart w:id="1883" w:name="_MON_1395749981"/>
    <w:bookmarkStart w:id="1884" w:name="_MON_1395750006"/>
    <w:bookmarkStart w:id="1885" w:name="_MON_1395750027"/>
    <w:bookmarkStart w:id="1886" w:name="_MON_1395750198"/>
    <w:bookmarkStart w:id="1887" w:name="_MON_1395750232"/>
    <w:bookmarkStart w:id="1888" w:name="_MON_1395909772"/>
    <w:bookmarkStart w:id="1889" w:name="_MON_1396090471"/>
    <w:bookmarkStart w:id="1890" w:name="_MON_1396091147"/>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Start w:id="1891" w:name="_MON_1424765496"/>
    <w:bookmarkEnd w:id="1891"/>
    <w:p w14:paraId="4785EFC6" w14:textId="3587A59E" w:rsidR="00064B5E" w:rsidRPr="0088338F" w:rsidRDefault="0088338F" w:rsidP="00064B5E">
      <w:pPr>
        <w:jc w:val="both"/>
        <w:rPr>
          <w:rFonts w:ascii="Arial" w:hAnsi="Arial" w:cs="Arial"/>
          <w:sz w:val="20"/>
          <w:szCs w:val="20"/>
        </w:rPr>
      </w:pPr>
      <w:r w:rsidRPr="0088338F">
        <w:rPr>
          <w:rFonts w:ascii="Arial" w:hAnsi="Arial" w:cs="Arial"/>
        </w:rPr>
        <w:object w:dxaOrig="9694" w:dyaOrig="1532" w14:anchorId="1CC94B42">
          <v:shape id="_x0000_i1079" type="#_x0000_t75" style="width:452.4pt;height:78pt" o:ole="" o:preferrelative="f">
            <v:imagedata r:id="rId136" o:title=""/>
            <o:lock v:ext="edit" aspectratio="f"/>
          </v:shape>
          <o:OLEObject Type="Embed" ProgID="Excel.Sheet.8" ShapeID="_x0000_i1079" DrawAspect="Content" ObjectID="_1551591580" r:id="rId137"/>
        </w:object>
      </w:r>
    </w:p>
    <w:p w14:paraId="784C6B33" w14:textId="77777777" w:rsidR="00F945CD" w:rsidRPr="0088338F" w:rsidRDefault="00F945CD" w:rsidP="00064B5E">
      <w:pPr>
        <w:jc w:val="both"/>
        <w:rPr>
          <w:rFonts w:ascii="Arial" w:hAnsi="Arial" w:cs="Arial"/>
          <w:sz w:val="20"/>
          <w:szCs w:val="20"/>
        </w:rPr>
      </w:pPr>
    </w:p>
    <w:p w14:paraId="575171E1" w14:textId="77777777" w:rsidR="004E1719" w:rsidRPr="0088338F" w:rsidRDefault="004E1719" w:rsidP="00064B5E">
      <w:pPr>
        <w:jc w:val="both"/>
        <w:rPr>
          <w:rFonts w:ascii="Arial" w:hAnsi="Arial" w:cs="Arial"/>
          <w:sz w:val="20"/>
          <w:szCs w:val="20"/>
        </w:rPr>
      </w:pPr>
    </w:p>
    <w:p w14:paraId="26B96F6D" w14:textId="10F9B996" w:rsidR="006A0B29" w:rsidRPr="0088338F" w:rsidRDefault="006A0B29" w:rsidP="006A0B29">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Zmluvné záväzky a budúce možné záväzky</w:t>
      </w:r>
    </w:p>
    <w:p w14:paraId="32F471A7" w14:textId="77777777" w:rsidR="006A0B29" w:rsidRPr="0088338F" w:rsidRDefault="006A0B29" w:rsidP="006A0B29">
      <w:pPr>
        <w:rPr>
          <w:rFonts w:ascii="Arial" w:hAnsi="Arial" w:cs="Arial"/>
          <w:sz w:val="20"/>
          <w:szCs w:val="20"/>
        </w:rPr>
      </w:pPr>
    </w:p>
    <w:p w14:paraId="66B8F154" w14:textId="77777777" w:rsidR="006A0B29" w:rsidRPr="0088338F" w:rsidRDefault="005E20D6" w:rsidP="006A0B29">
      <w:pPr>
        <w:tabs>
          <w:tab w:val="left" w:pos="567"/>
        </w:tabs>
        <w:outlineLvl w:val="0"/>
        <w:rPr>
          <w:rFonts w:ascii="Arial" w:hAnsi="Arial" w:cs="Arial"/>
          <w:b/>
          <w:sz w:val="20"/>
          <w:szCs w:val="20"/>
        </w:rPr>
      </w:pPr>
      <w:r w:rsidRPr="0088338F">
        <w:rPr>
          <w:rFonts w:ascii="Arial" w:hAnsi="Arial" w:cs="Arial"/>
          <w:b/>
          <w:sz w:val="20"/>
          <w:szCs w:val="20"/>
        </w:rPr>
        <w:t>(</w:t>
      </w:r>
      <w:r w:rsidR="006A0B29" w:rsidRPr="0088338F">
        <w:rPr>
          <w:rFonts w:ascii="Arial" w:hAnsi="Arial" w:cs="Arial"/>
          <w:b/>
          <w:sz w:val="20"/>
          <w:szCs w:val="20"/>
        </w:rPr>
        <w:t>a)</w:t>
      </w:r>
      <w:r w:rsidR="006A0B29" w:rsidRPr="0088338F">
        <w:rPr>
          <w:rFonts w:ascii="Arial" w:hAnsi="Arial" w:cs="Arial"/>
          <w:b/>
          <w:sz w:val="20"/>
          <w:szCs w:val="20"/>
        </w:rPr>
        <w:tab/>
        <w:t>Súdne spory</w:t>
      </w:r>
    </w:p>
    <w:p w14:paraId="7AD1F0EC" w14:textId="77777777" w:rsidR="008A5A82" w:rsidRPr="0088338F" w:rsidRDefault="008A5A82" w:rsidP="006A0B29">
      <w:pPr>
        <w:tabs>
          <w:tab w:val="left" w:pos="567"/>
        </w:tabs>
        <w:outlineLvl w:val="0"/>
        <w:rPr>
          <w:rFonts w:ascii="Arial" w:hAnsi="Arial" w:cs="Arial"/>
          <w:b/>
          <w:sz w:val="20"/>
          <w:szCs w:val="20"/>
        </w:rPr>
      </w:pPr>
    </w:p>
    <w:p w14:paraId="600EFF4D" w14:textId="2DF828C1" w:rsidR="006A0B29" w:rsidRPr="0088338F" w:rsidRDefault="006A0B29" w:rsidP="00E325B2">
      <w:pPr>
        <w:jc w:val="both"/>
        <w:rPr>
          <w:rFonts w:ascii="Arial" w:hAnsi="Arial" w:cs="Arial"/>
          <w:sz w:val="20"/>
          <w:szCs w:val="20"/>
        </w:rPr>
      </w:pPr>
      <w:r w:rsidRPr="0088338F">
        <w:rPr>
          <w:rFonts w:ascii="Arial" w:hAnsi="Arial" w:cs="Arial"/>
          <w:sz w:val="20"/>
          <w:szCs w:val="20"/>
        </w:rPr>
        <w:t>Banka vykonala previerku prebiehajúcich súdnych konaní vedených proti nej k 31. decembru 20</w:t>
      </w:r>
      <w:r w:rsidR="00B2418B" w:rsidRPr="0088338F">
        <w:rPr>
          <w:rFonts w:ascii="Arial" w:hAnsi="Arial" w:cs="Arial"/>
          <w:sz w:val="20"/>
          <w:szCs w:val="20"/>
        </w:rPr>
        <w:t>1</w:t>
      </w:r>
      <w:r w:rsidR="00B17BC0" w:rsidRPr="0088338F">
        <w:rPr>
          <w:rFonts w:ascii="Arial" w:hAnsi="Arial" w:cs="Arial"/>
          <w:sz w:val="20"/>
          <w:szCs w:val="20"/>
        </w:rPr>
        <w:t>6</w:t>
      </w:r>
      <w:r w:rsidR="008E6838" w:rsidRPr="0088338F">
        <w:rPr>
          <w:rFonts w:ascii="Arial" w:hAnsi="Arial" w:cs="Arial"/>
          <w:sz w:val="20"/>
          <w:szCs w:val="20"/>
        </w:rPr>
        <w:t xml:space="preserve"> a 31. </w:t>
      </w:r>
      <w:r w:rsidR="005C654C" w:rsidRPr="0088338F">
        <w:rPr>
          <w:rFonts w:ascii="Arial" w:hAnsi="Arial" w:cs="Arial"/>
          <w:sz w:val="20"/>
          <w:szCs w:val="20"/>
        </w:rPr>
        <w:t>d</w:t>
      </w:r>
      <w:r w:rsidR="00E51A11" w:rsidRPr="0088338F">
        <w:rPr>
          <w:rFonts w:ascii="Arial" w:hAnsi="Arial" w:cs="Arial"/>
          <w:sz w:val="20"/>
          <w:szCs w:val="20"/>
        </w:rPr>
        <w:t>ecembru 201</w:t>
      </w:r>
      <w:r w:rsidR="00B17BC0" w:rsidRPr="0088338F">
        <w:rPr>
          <w:rFonts w:ascii="Arial" w:hAnsi="Arial" w:cs="Arial"/>
          <w:sz w:val="20"/>
          <w:szCs w:val="20"/>
        </w:rPr>
        <w:t>5</w:t>
      </w:r>
      <w:r w:rsidRPr="0088338F">
        <w:rPr>
          <w:rFonts w:ascii="Arial" w:hAnsi="Arial" w:cs="Arial"/>
          <w:sz w:val="20"/>
          <w:szCs w:val="20"/>
        </w:rPr>
        <w:t xml:space="preserve">. Na základe previerky rizík zo strát z významných súdnych sporov a súm v nich figurujúcich banka vykázala na tieto súdne spory </w:t>
      </w:r>
      <w:r w:rsidR="005E20D6" w:rsidRPr="0088338F">
        <w:rPr>
          <w:rFonts w:ascii="Arial" w:hAnsi="Arial" w:cs="Arial"/>
          <w:sz w:val="20"/>
          <w:szCs w:val="20"/>
        </w:rPr>
        <w:t>k 31. decembru 20</w:t>
      </w:r>
      <w:r w:rsidR="00B2418B" w:rsidRPr="0088338F">
        <w:rPr>
          <w:rFonts w:ascii="Arial" w:hAnsi="Arial" w:cs="Arial"/>
          <w:sz w:val="20"/>
          <w:szCs w:val="20"/>
        </w:rPr>
        <w:t>1</w:t>
      </w:r>
      <w:r w:rsidR="00B17BC0" w:rsidRPr="0088338F">
        <w:rPr>
          <w:rFonts w:ascii="Arial" w:hAnsi="Arial" w:cs="Arial"/>
          <w:sz w:val="20"/>
          <w:szCs w:val="20"/>
        </w:rPr>
        <w:t>6</w:t>
      </w:r>
      <w:r w:rsidRPr="0088338F">
        <w:rPr>
          <w:rFonts w:ascii="Arial" w:hAnsi="Arial" w:cs="Arial"/>
          <w:sz w:val="20"/>
          <w:szCs w:val="20"/>
        </w:rPr>
        <w:t xml:space="preserve"> rezervu</w:t>
      </w:r>
      <w:r w:rsidR="00D94A46" w:rsidRPr="0088338F">
        <w:rPr>
          <w:rFonts w:ascii="Arial" w:hAnsi="Arial" w:cs="Arial"/>
          <w:sz w:val="20"/>
          <w:szCs w:val="20"/>
        </w:rPr>
        <w:t xml:space="preserve"> vo výške </w:t>
      </w:r>
      <w:r w:rsidR="00076474" w:rsidRPr="0088338F">
        <w:rPr>
          <w:rFonts w:ascii="Arial" w:hAnsi="Arial" w:cs="Arial"/>
          <w:sz w:val="20"/>
          <w:szCs w:val="20"/>
        </w:rPr>
        <w:t>33</w:t>
      </w:r>
      <w:r w:rsidR="00385194" w:rsidRPr="0088338F">
        <w:rPr>
          <w:rFonts w:ascii="Arial" w:hAnsi="Arial" w:cs="Arial"/>
          <w:sz w:val="20"/>
          <w:szCs w:val="20"/>
        </w:rPr>
        <w:t>1</w:t>
      </w:r>
      <w:r w:rsidR="00D94A46" w:rsidRPr="0088338F">
        <w:rPr>
          <w:rFonts w:ascii="Arial" w:hAnsi="Arial" w:cs="Arial"/>
          <w:sz w:val="20"/>
          <w:szCs w:val="20"/>
        </w:rPr>
        <w:t xml:space="preserve"> tis. EUR</w:t>
      </w:r>
      <w:r w:rsidR="007C7D43" w:rsidRPr="0088338F">
        <w:rPr>
          <w:rFonts w:ascii="Arial" w:hAnsi="Arial" w:cs="Arial"/>
          <w:sz w:val="20"/>
          <w:szCs w:val="20"/>
        </w:rPr>
        <w:t xml:space="preserve"> (201</w:t>
      </w:r>
      <w:r w:rsidR="00B17BC0" w:rsidRPr="0088338F">
        <w:rPr>
          <w:rFonts w:ascii="Arial" w:hAnsi="Arial" w:cs="Arial"/>
          <w:sz w:val="20"/>
          <w:szCs w:val="20"/>
        </w:rPr>
        <w:t>5</w:t>
      </w:r>
      <w:r w:rsidR="007C7D43" w:rsidRPr="0088338F">
        <w:rPr>
          <w:rFonts w:ascii="Arial" w:hAnsi="Arial" w:cs="Arial"/>
          <w:sz w:val="20"/>
          <w:szCs w:val="20"/>
        </w:rPr>
        <w:t>: 3</w:t>
      </w:r>
      <w:r w:rsidR="00785C91" w:rsidRPr="0088338F">
        <w:rPr>
          <w:rFonts w:ascii="Arial" w:hAnsi="Arial" w:cs="Arial"/>
          <w:sz w:val="20"/>
          <w:szCs w:val="20"/>
        </w:rPr>
        <w:t>3</w:t>
      </w:r>
      <w:r w:rsidR="00B17BC0" w:rsidRPr="0088338F">
        <w:rPr>
          <w:rFonts w:ascii="Arial" w:hAnsi="Arial" w:cs="Arial"/>
          <w:sz w:val="20"/>
          <w:szCs w:val="20"/>
        </w:rPr>
        <w:t>1</w:t>
      </w:r>
      <w:r w:rsidR="007C7D43" w:rsidRPr="0088338F">
        <w:rPr>
          <w:rFonts w:ascii="Arial" w:hAnsi="Arial" w:cs="Arial"/>
          <w:sz w:val="20"/>
          <w:szCs w:val="20"/>
        </w:rPr>
        <w:t xml:space="preserve"> tis. EUR)</w:t>
      </w:r>
      <w:r w:rsidR="00D02338" w:rsidRPr="0088338F">
        <w:rPr>
          <w:rFonts w:ascii="Arial" w:hAnsi="Arial" w:cs="Arial"/>
          <w:sz w:val="20"/>
          <w:szCs w:val="20"/>
        </w:rPr>
        <w:t>.</w:t>
      </w:r>
    </w:p>
    <w:p w14:paraId="3A651A5E" w14:textId="77777777" w:rsidR="00755308" w:rsidRPr="0088338F" w:rsidRDefault="00755308" w:rsidP="006A0B29">
      <w:pPr>
        <w:tabs>
          <w:tab w:val="left" w:pos="567"/>
        </w:tabs>
        <w:outlineLvl w:val="0"/>
        <w:rPr>
          <w:rFonts w:ascii="Arial" w:hAnsi="Arial" w:cs="Arial"/>
          <w:b/>
          <w:sz w:val="20"/>
          <w:szCs w:val="20"/>
        </w:rPr>
      </w:pPr>
    </w:p>
    <w:p w14:paraId="53B1697B" w14:textId="77777777" w:rsidR="006A0B29" w:rsidRPr="0088338F" w:rsidRDefault="006A0B29" w:rsidP="006A0B29">
      <w:pPr>
        <w:tabs>
          <w:tab w:val="left" w:pos="567"/>
        </w:tabs>
        <w:outlineLvl w:val="0"/>
        <w:rPr>
          <w:rFonts w:ascii="Arial" w:hAnsi="Arial" w:cs="Arial"/>
          <w:b/>
          <w:sz w:val="20"/>
          <w:szCs w:val="20"/>
        </w:rPr>
      </w:pPr>
      <w:r w:rsidRPr="0088338F">
        <w:rPr>
          <w:rFonts w:ascii="Arial" w:hAnsi="Arial" w:cs="Arial"/>
          <w:b/>
          <w:sz w:val="20"/>
          <w:szCs w:val="20"/>
        </w:rPr>
        <w:t>b)</w:t>
      </w:r>
      <w:r w:rsidRPr="0088338F">
        <w:rPr>
          <w:rFonts w:ascii="Arial" w:hAnsi="Arial" w:cs="Arial"/>
          <w:b/>
          <w:sz w:val="20"/>
          <w:szCs w:val="20"/>
        </w:rPr>
        <w:tab/>
        <w:t xml:space="preserve">Záväzky vyplývajúce z poskytnutia záruk </w:t>
      </w:r>
    </w:p>
    <w:p w14:paraId="65E96C9C" w14:textId="77777777" w:rsidR="008A5A82" w:rsidRPr="0088338F" w:rsidRDefault="008A5A82" w:rsidP="006A0B29">
      <w:pPr>
        <w:tabs>
          <w:tab w:val="left" w:pos="567"/>
        </w:tabs>
        <w:outlineLvl w:val="0"/>
        <w:rPr>
          <w:rFonts w:ascii="Arial" w:hAnsi="Arial" w:cs="Arial"/>
          <w:b/>
          <w:sz w:val="20"/>
          <w:szCs w:val="20"/>
        </w:rPr>
      </w:pPr>
    </w:p>
    <w:p w14:paraId="58286BA6" w14:textId="6425597E" w:rsidR="006A0B29" w:rsidRPr="0088338F" w:rsidRDefault="006A0B29" w:rsidP="005E20D6">
      <w:pPr>
        <w:jc w:val="both"/>
        <w:rPr>
          <w:rFonts w:ascii="Arial" w:hAnsi="Arial" w:cs="Arial"/>
          <w:sz w:val="20"/>
          <w:szCs w:val="20"/>
        </w:rPr>
      </w:pPr>
      <w:r w:rsidRPr="0088338F">
        <w:rPr>
          <w:rFonts w:ascii="Arial" w:hAnsi="Arial" w:cs="Arial"/>
          <w:sz w:val="20"/>
          <w:szCs w:val="20"/>
        </w:rPr>
        <w:t>Záväzky zo záruk zahŕňajú vydané</w:t>
      </w:r>
      <w:r w:rsidR="005E20D6" w:rsidRPr="0088338F">
        <w:rPr>
          <w:rFonts w:ascii="Arial" w:hAnsi="Arial" w:cs="Arial"/>
          <w:sz w:val="20"/>
          <w:szCs w:val="20"/>
        </w:rPr>
        <w:t xml:space="preserve"> záruky</w:t>
      </w:r>
      <w:r w:rsidRPr="0088338F">
        <w:rPr>
          <w:rFonts w:ascii="Arial" w:hAnsi="Arial" w:cs="Arial"/>
          <w:sz w:val="20"/>
          <w:szCs w:val="20"/>
        </w:rPr>
        <w:t xml:space="preserve">, ktoré predstavujú neodvolateľný záväzok, že banka uskutoční platbu, ak si klient nemôže splniť záväzky voči tretím osobám. Banka </w:t>
      </w:r>
      <w:r w:rsidR="005E20D6" w:rsidRPr="0088338F">
        <w:rPr>
          <w:rFonts w:ascii="Arial" w:hAnsi="Arial" w:cs="Arial"/>
          <w:sz w:val="20"/>
          <w:szCs w:val="20"/>
        </w:rPr>
        <w:t>na základe posúdenia rizík k 31. decembru 20</w:t>
      </w:r>
      <w:r w:rsidR="00B2418B" w:rsidRPr="0088338F">
        <w:rPr>
          <w:rFonts w:ascii="Arial" w:hAnsi="Arial" w:cs="Arial"/>
          <w:sz w:val="20"/>
          <w:szCs w:val="20"/>
        </w:rPr>
        <w:t>1</w:t>
      </w:r>
      <w:r w:rsidR="00B17BC0" w:rsidRPr="0088338F">
        <w:rPr>
          <w:rFonts w:ascii="Arial" w:hAnsi="Arial" w:cs="Arial"/>
          <w:sz w:val="20"/>
          <w:szCs w:val="20"/>
        </w:rPr>
        <w:t>6</w:t>
      </w:r>
      <w:r w:rsidR="005C654C" w:rsidRPr="0088338F">
        <w:rPr>
          <w:rFonts w:ascii="Arial" w:hAnsi="Arial" w:cs="Arial"/>
          <w:sz w:val="20"/>
          <w:szCs w:val="20"/>
        </w:rPr>
        <w:t xml:space="preserve"> a 31. decembru 201</w:t>
      </w:r>
      <w:r w:rsidR="00B17BC0" w:rsidRPr="0088338F">
        <w:rPr>
          <w:rFonts w:ascii="Arial" w:hAnsi="Arial" w:cs="Arial"/>
          <w:sz w:val="20"/>
          <w:szCs w:val="20"/>
        </w:rPr>
        <w:t>5</w:t>
      </w:r>
      <w:r w:rsidR="005E20D6" w:rsidRPr="0088338F">
        <w:rPr>
          <w:rFonts w:ascii="Arial" w:hAnsi="Arial" w:cs="Arial"/>
          <w:sz w:val="20"/>
          <w:szCs w:val="20"/>
        </w:rPr>
        <w:t xml:space="preserve"> netvorila žiadnu</w:t>
      </w:r>
      <w:r w:rsidRPr="0088338F">
        <w:rPr>
          <w:rFonts w:ascii="Arial" w:hAnsi="Arial" w:cs="Arial"/>
          <w:sz w:val="20"/>
          <w:szCs w:val="20"/>
        </w:rPr>
        <w:t xml:space="preserve"> rezervu na krytie strát obsiahnutých v zostatkoch nevyužitých úverových prísľubov</w:t>
      </w:r>
      <w:r w:rsidR="005E20D6" w:rsidRPr="0088338F">
        <w:rPr>
          <w:rFonts w:ascii="Arial" w:hAnsi="Arial" w:cs="Arial"/>
          <w:sz w:val="20"/>
          <w:szCs w:val="20"/>
        </w:rPr>
        <w:t xml:space="preserve"> a záruk</w:t>
      </w:r>
      <w:r w:rsidRPr="0088338F">
        <w:rPr>
          <w:rFonts w:ascii="Arial" w:hAnsi="Arial" w:cs="Arial"/>
          <w:sz w:val="20"/>
          <w:szCs w:val="20"/>
        </w:rPr>
        <w:t>, ktoré sú vykázané v podsúvahe.</w:t>
      </w:r>
    </w:p>
    <w:p w14:paraId="21B6A296" w14:textId="77777777" w:rsidR="006A0B29" w:rsidRPr="0088338F" w:rsidRDefault="006A0B29" w:rsidP="006A0B29">
      <w:pPr>
        <w:rPr>
          <w:rFonts w:ascii="Arial" w:hAnsi="Arial" w:cs="Arial"/>
          <w:sz w:val="20"/>
          <w:szCs w:val="20"/>
        </w:rPr>
      </w:pPr>
    </w:p>
    <w:p w14:paraId="768821D1" w14:textId="77777777" w:rsidR="006A0B29" w:rsidRPr="0088338F" w:rsidRDefault="006A0B29" w:rsidP="005E20D6">
      <w:pPr>
        <w:tabs>
          <w:tab w:val="left" w:pos="567"/>
        </w:tabs>
        <w:ind w:left="567" w:hanging="567"/>
        <w:outlineLvl w:val="0"/>
        <w:rPr>
          <w:rFonts w:ascii="Arial" w:hAnsi="Arial" w:cs="Arial"/>
          <w:b/>
          <w:sz w:val="20"/>
          <w:szCs w:val="20"/>
        </w:rPr>
      </w:pPr>
      <w:r w:rsidRPr="0088338F">
        <w:rPr>
          <w:rFonts w:ascii="Arial" w:hAnsi="Arial" w:cs="Arial"/>
          <w:b/>
          <w:sz w:val="20"/>
          <w:szCs w:val="20"/>
        </w:rPr>
        <w:t>c)</w:t>
      </w:r>
      <w:r w:rsidRPr="0088338F">
        <w:rPr>
          <w:rFonts w:ascii="Arial" w:hAnsi="Arial" w:cs="Arial"/>
          <w:b/>
          <w:sz w:val="20"/>
          <w:szCs w:val="20"/>
        </w:rPr>
        <w:tab/>
        <w:t xml:space="preserve">Záväzky poskytnúť úver, záväzky vyplývajúce z nevyčerpaných úverov, nevyužitá možnosť prečerpania a schválené úvery s možnosťou prečerpania </w:t>
      </w:r>
    </w:p>
    <w:p w14:paraId="46F881C0" w14:textId="77777777" w:rsidR="008A5A82" w:rsidRPr="0088338F" w:rsidRDefault="008A5A82" w:rsidP="005E20D6">
      <w:pPr>
        <w:tabs>
          <w:tab w:val="left" w:pos="567"/>
        </w:tabs>
        <w:ind w:left="567" w:hanging="567"/>
        <w:outlineLvl w:val="0"/>
        <w:rPr>
          <w:rFonts w:ascii="Arial" w:hAnsi="Arial" w:cs="Arial"/>
          <w:b/>
          <w:sz w:val="20"/>
          <w:szCs w:val="20"/>
        </w:rPr>
      </w:pPr>
    </w:p>
    <w:p w14:paraId="5F863A26" w14:textId="34D1C984" w:rsidR="006A0B29" w:rsidRPr="0088338F" w:rsidRDefault="006A0B29" w:rsidP="005E20D6">
      <w:pPr>
        <w:jc w:val="both"/>
        <w:rPr>
          <w:rFonts w:ascii="Arial" w:hAnsi="Arial" w:cs="Arial"/>
          <w:sz w:val="20"/>
          <w:szCs w:val="20"/>
        </w:rPr>
      </w:pPr>
      <w:r w:rsidRPr="0088338F">
        <w:rPr>
          <w:rFonts w:ascii="Arial" w:hAnsi="Arial" w:cs="Arial"/>
          <w:sz w:val="20"/>
          <w:szCs w:val="20"/>
        </w:rPr>
        <w:t xml:space="preserve">Hlavným cieľom záväzkov poskytnúť úver je zabezpečiť dostupnosť finančných prostriedkov klientovi podľa jeho potreby. Záväzky poskytnúť úver predstavujú nevyužité povolenia </w:t>
      </w:r>
      <w:r w:rsidR="005E20D6" w:rsidRPr="0088338F">
        <w:rPr>
          <w:rFonts w:ascii="Arial" w:hAnsi="Arial" w:cs="Arial"/>
          <w:sz w:val="20"/>
          <w:szCs w:val="20"/>
        </w:rPr>
        <w:t>poskytnúť úvery vo forme úverov alebo</w:t>
      </w:r>
      <w:r w:rsidRPr="0088338F">
        <w:rPr>
          <w:rFonts w:ascii="Arial" w:hAnsi="Arial" w:cs="Arial"/>
          <w:sz w:val="20"/>
          <w:szCs w:val="20"/>
        </w:rPr>
        <w:t xml:space="preserve"> záruk. Záväzok poskytnúť úver vydaný bankou predstavuje úverový zmluvný záväzok alebo vydané záruky, nevyčerpané a schválené úvery s možnosťou prečerpania. Záväzky poskytnúť úver alebo záruky vydané bankou, ktoré sú podmienené zachovaním špecifického úverového štandardu klientom (vrátane podmienky, že platobná schopnosť klienta sa nezníži), predstavujú odvolateľné záväzky. Neodvolateľné záväzky predstavujú nevyčerpané sumy schválených úverov a schválených kontokorentných úverov, pretože vznikajú na základe zmluvných podmienok a vzťahov  u</w:t>
      </w:r>
      <w:r w:rsidR="008E6838" w:rsidRPr="0088338F">
        <w:rPr>
          <w:rFonts w:ascii="Arial" w:hAnsi="Arial" w:cs="Arial"/>
          <w:sz w:val="20"/>
          <w:szCs w:val="20"/>
        </w:rPr>
        <w:t>vedených v </w:t>
      </w:r>
      <w:r w:rsidR="005E20D6" w:rsidRPr="0088338F">
        <w:rPr>
          <w:rFonts w:ascii="Arial" w:hAnsi="Arial" w:cs="Arial"/>
          <w:sz w:val="20"/>
          <w:szCs w:val="20"/>
        </w:rPr>
        <w:t>úverových zmluvách.</w:t>
      </w:r>
    </w:p>
    <w:p w14:paraId="3B719AF2" w14:textId="77777777" w:rsidR="00B16E81" w:rsidRPr="0088338F" w:rsidRDefault="00B16E81" w:rsidP="005E20D6">
      <w:pPr>
        <w:jc w:val="both"/>
        <w:rPr>
          <w:rFonts w:ascii="Arial" w:hAnsi="Arial" w:cs="Arial"/>
          <w:sz w:val="14"/>
          <w:szCs w:val="14"/>
        </w:rPr>
      </w:pPr>
    </w:p>
    <w:p w14:paraId="10521946" w14:textId="77777777" w:rsidR="00274754" w:rsidRPr="0088338F" w:rsidRDefault="00274754" w:rsidP="005E20D6">
      <w:pPr>
        <w:jc w:val="both"/>
        <w:rPr>
          <w:rFonts w:ascii="Arial" w:hAnsi="Arial" w:cs="Arial"/>
          <w:sz w:val="14"/>
          <w:szCs w:val="14"/>
        </w:rPr>
      </w:pPr>
    </w:p>
    <w:p w14:paraId="6290A9D5" w14:textId="77777777" w:rsidR="004E1719" w:rsidRPr="0088338F" w:rsidRDefault="004E1719">
      <w:pPr>
        <w:rPr>
          <w:rFonts w:ascii="Arial" w:hAnsi="Arial" w:cs="Arial"/>
          <w:b/>
          <w:caps/>
          <w:sz w:val="20"/>
          <w:szCs w:val="20"/>
        </w:rPr>
      </w:pPr>
      <w:r w:rsidRPr="0088338F">
        <w:rPr>
          <w:rFonts w:ascii="Arial" w:hAnsi="Arial" w:cs="Arial"/>
          <w:b/>
          <w:caps/>
          <w:sz w:val="20"/>
          <w:szCs w:val="20"/>
        </w:rPr>
        <w:br w:type="page"/>
      </w:r>
    </w:p>
    <w:p w14:paraId="38A0405D" w14:textId="6A8A9C07" w:rsidR="00274754" w:rsidRPr="0088338F" w:rsidRDefault="00274754" w:rsidP="00274754">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lastRenderedPageBreak/>
        <w:t>Transakcie so spriaznenými osobami</w:t>
      </w:r>
    </w:p>
    <w:p w14:paraId="76D1F085" w14:textId="77777777" w:rsidR="00274754" w:rsidRPr="0088338F" w:rsidRDefault="00274754" w:rsidP="00274754">
      <w:pPr>
        <w:jc w:val="both"/>
        <w:rPr>
          <w:rFonts w:ascii="Arial" w:hAnsi="Arial" w:cs="Arial"/>
          <w:sz w:val="14"/>
          <w:szCs w:val="14"/>
        </w:rPr>
      </w:pPr>
    </w:p>
    <w:p w14:paraId="6F051C1E" w14:textId="77777777" w:rsidR="00274754" w:rsidRPr="0088338F" w:rsidRDefault="00274754" w:rsidP="00274754">
      <w:pPr>
        <w:jc w:val="both"/>
        <w:rPr>
          <w:rFonts w:ascii="Arial" w:hAnsi="Arial" w:cs="Arial"/>
          <w:sz w:val="20"/>
          <w:szCs w:val="20"/>
        </w:rPr>
      </w:pPr>
      <w:r w:rsidRPr="0088338F">
        <w:rPr>
          <w:rFonts w:ascii="Arial" w:hAnsi="Arial" w:cs="Arial"/>
          <w:sz w:val="20"/>
          <w:szCs w:val="20"/>
        </w:rPr>
        <w:t>Spriaznené osoby podľa definície v IAS 24 sú najmä:</w:t>
      </w:r>
    </w:p>
    <w:p w14:paraId="3214AA34" w14:textId="77777777" w:rsidR="00274754" w:rsidRPr="0088338F" w:rsidRDefault="00274754" w:rsidP="00274754">
      <w:pPr>
        <w:jc w:val="both"/>
        <w:rPr>
          <w:rFonts w:ascii="Arial" w:hAnsi="Arial" w:cs="Arial"/>
          <w:sz w:val="14"/>
          <w:szCs w:val="14"/>
        </w:rPr>
      </w:pPr>
    </w:p>
    <w:p w14:paraId="5DD257BE" w14:textId="77777777" w:rsidR="00274754" w:rsidRPr="0088338F" w:rsidRDefault="00274754" w:rsidP="00274754">
      <w:pPr>
        <w:numPr>
          <w:ilvl w:val="0"/>
          <w:numId w:val="32"/>
        </w:numPr>
        <w:tabs>
          <w:tab w:val="clear" w:pos="720"/>
          <w:tab w:val="left" w:pos="284"/>
        </w:tabs>
        <w:ind w:left="284" w:hanging="284"/>
        <w:jc w:val="both"/>
        <w:rPr>
          <w:rFonts w:ascii="Arial" w:hAnsi="Arial" w:cs="Arial"/>
          <w:sz w:val="20"/>
          <w:szCs w:val="20"/>
        </w:rPr>
      </w:pPr>
      <w:r w:rsidRPr="0088338F">
        <w:rPr>
          <w:rFonts w:ascii="Arial" w:hAnsi="Arial" w:cs="Arial"/>
          <w:sz w:val="20"/>
          <w:szCs w:val="20"/>
        </w:rPr>
        <w:t xml:space="preserve">osoba alebo blízky rodinný príslušník tejto osoby sú spriaznené vo vzťahu k banke, ak táto osoba: </w:t>
      </w:r>
    </w:p>
    <w:p w14:paraId="697CFF78" w14:textId="77777777" w:rsidR="00274754" w:rsidRPr="0088338F" w:rsidRDefault="00274754" w:rsidP="00274754">
      <w:pPr>
        <w:numPr>
          <w:ilvl w:val="0"/>
          <w:numId w:val="33"/>
        </w:numPr>
        <w:tabs>
          <w:tab w:val="clear" w:pos="720"/>
          <w:tab w:val="left" w:pos="567"/>
        </w:tabs>
        <w:ind w:left="568" w:hanging="284"/>
        <w:jc w:val="both"/>
        <w:rPr>
          <w:rFonts w:ascii="Arial" w:hAnsi="Arial" w:cs="Arial"/>
          <w:sz w:val="20"/>
          <w:szCs w:val="20"/>
        </w:rPr>
      </w:pPr>
      <w:r w:rsidRPr="0088338F">
        <w:rPr>
          <w:rFonts w:ascii="Arial" w:hAnsi="Arial" w:cs="Arial"/>
          <w:sz w:val="20"/>
          <w:szCs w:val="20"/>
        </w:rPr>
        <w:t xml:space="preserve">ovláda alebo spoluovláda banku, </w:t>
      </w:r>
    </w:p>
    <w:p w14:paraId="7B618A90" w14:textId="77777777" w:rsidR="00274754" w:rsidRPr="0088338F" w:rsidRDefault="00274754" w:rsidP="00274754">
      <w:pPr>
        <w:numPr>
          <w:ilvl w:val="0"/>
          <w:numId w:val="33"/>
        </w:numPr>
        <w:tabs>
          <w:tab w:val="clear" w:pos="720"/>
          <w:tab w:val="left" w:pos="567"/>
        </w:tabs>
        <w:ind w:left="568" w:hanging="284"/>
        <w:jc w:val="both"/>
        <w:rPr>
          <w:rFonts w:ascii="Arial" w:hAnsi="Arial" w:cs="Arial"/>
          <w:sz w:val="20"/>
          <w:szCs w:val="20"/>
        </w:rPr>
      </w:pPr>
      <w:r w:rsidRPr="0088338F">
        <w:rPr>
          <w:rFonts w:ascii="Arial" w:hAnsi="Arial" w:cs="Arial"/>
          <w:sz w:val="20"/>
          <w:szCs w:val="20"/>
        </w:rPr>
        <w:t xml:space="preserve">má podstatný vplyv na banku alebo </w:t>
      </w:r>
    </w:p>
    <w:p w14:paraId="680DACB2" w14:textId="77777777" w:rsidR="00274754" w:rsidRPr="0088338F" w:rsidRDefault="00274754" w:rsidP="00274754">
      <w:pPr>
        <w:numPr>
          <w:ilvl w:val="0"/>
          <w:numId w:val="33"/>
        </w:numPr>
        <w:tabs>
          <w:tab w:val="clear" w:pos="720"/>
          <w:tab w:val="left" w:pos="567"/>
        </w:tabs>
        <w:ind w:left="568" w:hanging="284"/>
        <w:jc w:val="both"/>
        <w:rPr>
          <w:rFonts w:ascii="Arial" w:hAnsi="Arial" w:cs="Arial"/>
          <w:sz w:val="20"/>
          <w:szCs w:val="20"/>
        </w:rPr>
      </w:pPr>
      <w:r w:rsidRPr="0088338F">
        <w:rPr>
          <w:rFonts w:ascii="Arial" w:hAnsi="Arial" w:cs="Arial"/>
          <w:sz w:val="20"/>
          <w:szCs w:val="20"/>
        </w:rPr>
        <w:t>je členom kľúčového riadiaceho personálu banky alebo jej materskej spoločnosti.</w:t>
      </w:r>
    </w:p>
    <w:p w14:paraId="6FA72890" w14:textId="77777777" w:rsidR="00274754" w:rsidRPr="0088338F" w:rsidRDefault="00274754" w:rsidP="00274754">
      <w:pPr>
        <w:tabs>
          <w:tab w:val="left" w:pos="284"/>
        </w:tabs>
        <w:jc w:val="both"/>
        <w:rPr>
          <w:rFonts w:ascii="Arial" w:hAnsi="Arial" w:cs="Arial"/>
          <w:sz w:val="14"/>
          <w:szCs w:val="14"/>
        </w:rPr>
      </w:pPr>
    </w:p>
    <w:p w14:paraId="7ACC1ED6" w14:textId="77777777" w:rsidR="00274754" w:rsidRPr="0088338F" w:rsidRDefault="00274754" w:rsidP="00274754">
      <w:pPr>
        <w:numPr>
          <w:ilvl w:val="0"/>
          <w:numId w:val="32"/>
        </w:numPr>
        <w:tabs>
          <w:tab w:val="clear" w:pos="720"/>
          <w:tab w:val="left" w:pos="284"/>
        </w:tabs>
        <w:ind w:left="284" w:hanging="284"/>
        <w:jc w:val="both"/>
        <w:rPr>
          <w:rFonts w:ascii="Arial" w:hAnsi="Arial" w:cs="Arial"/>
          <w:sz w:val="20"/>
          <w:szCs w:val="20"/>
        </w:rPr>
      </w:pPr>
      <w:r w:rsidRPr="0088338F">
        <w:rPr>
          <w:rFonts w:ascii="Arial" w:hAnsi="Arial" w:cs="Arial"/>
          <w:sz w:val="20"/>
          <w:szCs w:val="20"/>
        </w:rPr>
        <w:t xml:space="preserve">účtovná jednotka je spriaznená s bankou, ak platí ktorákoľvek z týchto podmienok: </w:t>
      </w:r>
    </w:p>
    <w:p w14:paraId="03C7E1C5" w14:textId="77777777" w:rsidR="00274754" w:rsidRPr="0088338F" w:rsidRDefault="00274754" w:rsidP="00274754">
      <w:pPr>
        <w:numPr>
          <w:ilvl w:val="0"/>
          <w:numId w:val="33"/>
        </w:numPr>
        <w:tabs>
          <w:tab w:val="clear" w:pos="720"/>
          <w:tab w:val="left" w:pos="567"/>
        </w:tabs>
        <w:ind w:left="568" w:hanging="284"/>
        <w:jc w:val="both"/>
        <w:rPr>
          <w:rFonts w:ascii="Arial" w:hAnsi="Arial" w:cs="Arial"/>
          <w:sz w:val="20"/>
          <w:szCs w:val="20"/>
        </w:rPr>
      </w:pPr>
      <w:r w:rsidRPr="0088338F">
        <w:rPr>
          <w:rFonts w:ascii="Arial" w:hAnsi="Arial" w:cs="Arial"/>
          <w:sz w:val="20"/>
          <w:szCs w:val="20"/>
        </w:rPr>
        <w:t xml:space="preserve">účtovná jednotka a banka sú členmi tej istej skupiny (to znamená, že každá materská spoločnosť, dcérska spoločnosť a sesterská spoločnosť sú navzájom spriaznené), </w:t>
      </w:r>
    </w:p>
    <w:p w14:paraId="262CF6F1" w14:textId="77777777" w:rsidR="00274754" w:rsidRPr="0088338F" w:rsidRDefault="00274754" w:rsidP="00274754">
      <w:pPr>
        <w:numPr>
          <w:ilvl w:val="0"/>
          <w:numId w:val="33"/>
        </w:numPr>
        <w:tabs>
          <w:tab w:val="clear" w:pos="720"/>
          <w:tab w:val="left" w:pos="567"/>
        </w:tabs>
        <w:ind w:left="568" w:hanging="284"/>
        <w:jc w:val="both"/>
        <w:rPr>
          <w:rFonts w:ascii="Arial" w:hAnsi="Arial" w:cs="Arial"/>
          <w:sz w:val="20"/>
          <w:szCs w:val="20"/>
        </w:rPr>
      </w:pPr>
      <w:r w:rsidRPr="0088338F">
        <w:rPr>
          <w:rFonts w:ascii="Arial" w:hAnsi="Arial" w:cs="Arial"/>
          <w:sz w:val="20"/>
          <w:szCs w:val="20"/>
        </w:rPr>
        <w:t xml:space="preserve">účtovná jednotka je pridruženou spoločnosťou alebo spoločným podnikom banky (alebo pridruženou spoločnosťou alebo spoločným podnikom člena skupiny, ktorej členom je banka), </w:t>
      </w:r>
    </w:p>
    <w:p w14:paraId="260A541E" w14:textId="77777777" w:rsidR="00274754" w:rsidRPr="0088338F" w:rsidRDefault="00274754" w:rsidP="00274754">
      <w:pPr>
        <w:numPr>
          <w:ilvl w:val="0"/>
          <w:numId w:val="33"/>
        </w:numPr>
        <w:tabs>
          <w:tab w:val="clear" w:pos="720"/>
          <w:tab w:val="left" w:pos="567"/>
        </w:tabs>
        <w:ind w:left="568" w:hanging="284"/>
        <w:jc w:val="both"/>
        <w:rPr>
          <w:rFonts w:ascii="Arial" w:hAnsi="Arial" w:cs="Arial"/>
          <w:sz w:val="20"/>
          <w:szCs w:val="20"/>
        </w:rPr>
      </w:pPr>
      <w:r w:rsidRPr="0088338F">
        <w:rPr>
          <w:rFonts w:ascii="Arial" w:hAnsi="Arial" w:cs="Arial"/>
          <w:sz w:val="20"/>
          <w:szCs w:val="20"/>
        </w:rPr>
        <w:t xml:space="preserve">účtovná jednotka a banka sú spoločnými podnikmi tej istej tretej strany, </w:t>
      </w:r>
    </w:p>
    <w:p w14:paraId="7549D132" w14:textId="77777777" w:rsidR="00274754" w:rsidRPr="0088338F" w:rsidRDefault="00274754" w:rsidP="00274754">
      <w:pPr>
        <w:numPr>
          <w:ilvl w:val="0"/>
          <w:numId w:val="33"/>
        </w:numPr>
        <w:tabs>
          <w:tab w:val="clear" w:pos="720"/>
          <w:tab w:val="left" w:pos="567"/>
        </w:tabs>
        <w:ind w:left="568" w:hanging="284"/>
        <w:jc w:val="both"/>
        <w:rPr>
          <w:rFonts w:ascii="Arial" w:hAnsi="Arial" w:cs="Arial"/>
          <w:sz w:val="20"/>
          <w:szCs w:val="20"/>
        </w:rPr>
      </w:pPr>
      <w:r w:rsidRPr="0088338F">
        <w:rPr>
          <w:rFonts w:ascii="Arial" w:hAnsi="Arial" w:cs="Arial"/>
          <w:sz w:val="20"/>
          <w:szCs w:val="20"/>
        </w:rPr>
        <w:t xml:space="preserve">účtovná jednotka je spoločným podnikom tretej strany a banka je pridruženou spoločnosťou tej istej tretej strany, </w:t>
      </w:r>
    </w:p>
    <w:p w14:paraId="2BEB6440" w14:textId="77777777" w:rsidR="00274754" w:rsidRPr="0088338F" w:rsidRDefault="00274754" w:rsidP="00274754">
      <w:pPr>
        <w:numPr>
          <w:ilvl w:val="0"/>
          <w:numId w:val="33"/>
        </w:numPr>
        <w:tabs>
          <w:tab w:val="clear" w:pos="720"/>
          <w:tab w:val="left" w:pos="567"/>
        </w:tabs>
        <w:ind w:left="568" w:hanging="284"/>
        <w:jc w:val="both"/>
        <w:rPr>
          <w:rFonts w:ascii="Arial" w:hAnsi="Arial" w:cs="Arial"/>
          <w:sz w:val="20"/>
          <w:szCs w:val="20"/>
        </w:rPr>
      </w:pPr>
      <w:r w:rsidRPr="0088338F">
        <w:rPr>
          <w:rFonts w:ascii="Arial" w:hAnsi="Arial" w:cs="Arial"/>
          <w:sz w:val="20"/>
          <w:szCs w:val="20"/>
        </w:rPr>
        <w:t xml:space="preserve">účtovná jednotka je programom požitkov po skončení zamestnania pre zamestnancov buď banky alebo účtovnej jednotky, ktorá je spriaznená s bankou, </w:t>
      </w:r>
    </w:p>
    <w:p w14:paraId="0071B31C" w14:textId="77777777" w:rsidR="00274754" w:rsidRPr="0088338F" w:rsidRDefault="00274754" w:rsidP="00274754">
      <w:pPr>
        <w:numPr>
          <w:ilvl w:val="0"/>
          <w:numId w:val="33"/>
        </w:numPr>
        <w:tabs>
          <w:tab w:val="clear" w:pos="720"/>
          <w:tab w:val="left" w:pos="567"/>
        </w:tabs>
        <w:ind w:left="568" w:hanging="284"/>
        <w:jc w:val="both"/>
        <w:rPr>
          <w:rFonts w:ascii="Arial" w:hAnsi="Arial" w:cs="Arial"/>
          <w:sz w:val="20"/>
          <w:szCs w:val="20"/>
        </w:rPr>
      </w:pPr>
      <w:r w:rsidRPr="0088338F">
        <w:rPr>
          <w:rFonts w:ascii="Arial" w:hAnsi="Arial" w:cs="Arial"/>
          <w:sz w:val="20"/>
          <w:szCs w:val="20"/>
        </w:rPr>
        <w:t xml:space="preserve">účtovnú jednotku ovláda alebo spoluovláda osoba uvedená v písm. a) a </w:t>
      </w:r>
    </w:p>
    <w:p w14:paraId="24F0F411" w14:textId="77777777" w:rsidR="00274754" w:rsidRPr="0088338F" w:rsidRDefault="00274754" w:rsidP="00274754">
      <w:pPr>
        <w:numPr>
          <w:ilvl w:val="0"/>
          <w:numId w:val="33"/>
        </w:numPr>
        <w:tabs>
          <w:tab w:val="clear" w:pos="720"/>
          <w:tab w:val="left" w:pos="567"/>
        </w:tabs>
        <w:ind w:left="568" w:hanging="284"/>
        <w:jc w:val="both"/>
        <w:rPr>
          <w:rFonts w:ascii="Arial" w:hAnsi="Arial" w:cs="Arial"/>
          <w:sz w:val="20"/>
          <w:szCs w:val="20"/>
        </w:rPr>
      </w:pPr>
      <w:r w:rsidRPr="0088338F">
        <w:rPr>
          <w:rFonts w:ascii="Arial" w:hAnsi="Arial" w:cs="Arial"/>
          <w:sz w:val="20"/>
          <w:szCs w:val="20"/>
        </w:rPr>
        <w:t xml:space="preserve">osoba, ktorá ovláda alebo spoluovláda banku, má podstatný vplyv na účtovnú jednotku alebo je členom kľúčového riadiaceho personálu účtovnej jednotky (alebo materskej spoločnosti tejto účtovnej jednotky). </w:t>
      </w:r>
    </w:p>
    <w:p w14:paraId="4AD0012D" w14:textId="77777777" w:rsidR="00274754" w:rsidRPr="0088338F" w:rsidRDefault="00274754" w:rsidP="00274754">
      <w:pPr>
        <w:jc w:val="both"/>
        <w:rPr>
          <w:rFonts w:ascii="Arial" w:hAnsi="Arial" w:cs="Arial"/>
          <w:sz w:val="14"/>
          <w:szCs w:val="14"/>
        </w:rPr>
      </w:pPr>
    </w:p>
    <w:p w14:paraId="28C9E7E3" w14:textId="77777777" w:rsidR="00274754" w:rsidRPr="0088338F" w:rsidRDefault="00274754" w:rsidP="00274754">
      <w:pPr>
        <w:jc w:val="both"/>
        <w:rPr>
          <w:rFonts w:ascii="Arial" w:hAnsi="Arial" w:cs="Arial"/>
          <w:sz w:val="20"/>
          <w:szCs w:val="20"/>
        </w:rPr>
      </w:pPr>
      <w:r w:rsidRPr="0088338F">
        <w:rPr>
          <w:rFonts w:ascii="Arial" w:hAnsi="Arial" w:cs="Arial"/>
          <w:sz w:val="20"/>
        </w:rPr>
        <w:t>Banku kontroluje spoločnosť Penta Investments Limited., ktorá vlastní 100-percentný podiel na celkových hlasovacích právach banky.</w:t>
      </w:r>
    </w:p>
    <w:p w14:paraId="64D1CB06" w14:textId="77777777" w:rsidR="00BC74FC" w:rsidRPr="0088338F" w:rsidRDefault="00BC74FC" w:rsidP="00274754">
      <w:pPr>
        <w:jc w:val="both"/>
        <w:rPr>
          <w:rFonts w:ascii="Arial" w:hAnsi="Arial" w:cs="Arial"/>
          <w:sz w:val="14"/>
          <w:szCs w:val="14"/>
        </w:rPr>
      </w:pPr>
    </w:p>
    <w:p w14:paraId="5F66A408" w14:textId="77777777" w:rsidR="00274754" w:rsidRPr="0088338F" w:rsidRDefault="00274754" w:rsidP="00274754">
      <w:pPr>
        <w:jc w:val="both"/>
        <w:rPr>
          <w:rFonts w:ascii="Arial" w:hAnsi="Arial" w:cs="Arial"/>
          <w:sz w:val="20"/>
        </w:rPr>
      </w:pPr>
      <w:r w:rsidRPr="0088338F">
        <w:rPr>
          <w:rFonts w:ascii="Arial" w:hAnsi="Arial" w:cs="Arial"/>
          <w:sz w:val="20"/>
        </w:rPr>
        <w:t xml:space="preserve">V rámci bežnej činnosti vstupuje banka do viacerých bankových transakcií so spriaznenými stranami. Tieto transakcie zahŕňajú predovšetkým úvery a vklady. Uskutočnili sa za bežných podmienok a vzťahov a s trhovými cenami. </w:t>
      </w:r>
    </w:p>
    <w:p w14:paraId="7FAFB499" w14:textId="77777777" w:rsidR="006A0B29" w:rsidRPr="0088338F" w:rsidRDefault="006A0B29" w:rsidP="006A0B29">
      <w:pPr>
        <w:rPr>
          <w:rFonts w:ascii="Arial" w:hAnsi="Arial" w:cs="Arial"/>
          <w:sz w:val="20"/>
          <w:szCs w:val="20"/>
        </w:rPr>
      </w:pPr>
    </w:p>
    <w:p w14:paraId="12B04ECA" w14:textId="77777777" w:rsidR="00B942F3" w:rsidRPr="0088338F" w:rsidRDefault="00B942F3" w:rsidP="003C18A9">
      <w:pPr>
        <w:jc w:val="both"/>
        <w:rPr>
          <w:rFonts w:ascii="Arial" w:hAnsi="Arial" w:cs="Arial"/>
          <w:sz w:val="20"/>
          <w:szCs w:val="20"/>
        </w:rPr>
        <w:sectPr w:rsidR="00B942F3" w:rsidRPr="0088338F">
          <w:headerReference w:type="default" r:id="rId138"/>
          <w:pgSz w:w="11906" w:h="16838"/>
          <w:pgMar w:top="1417" w:right="1417" w:bottom="1417" w:left="1417" w:header="708" w:footer="708" w:gutter="0"/>
          <w:cols w:space="708"/>
          <w:docGrid w:linePitch="360"/>
        </w:sectPr>
      </w:pPr>
    </w:p>
    <w:p w14:paraId="10CB62F1" w14:textId="77777777" w:rsidR="00A5134A" w:rsidRPr="0088338F" w:rsidRDefault="00A5134A" w:rsidP="003C18A9">
      <w:pPr>
        <w:jc w:val="both"/>
        <w:rPr>
          <w:rFonts w:ascii="Arial" w:hAnsi="Arial" w:cs="Arial"/>
          <w:sz w:val="20"/>
        </w:rPr>
      </w:pPr>
    </w:p>
    <w:bookmarkStart w:id="1892" w:name="_MON_1427537914"/>
    <w:bookmarkStart w:id="1893" w:name="_MON_1427538033"/>
    <w:bookmarkStart w:id="1894" w:name="_MON_1427538536"/>
    <w:bookmarkStart w:id="1895" w:name="_MON_1430813111"/>
    <w:bookmarkStart w:id="1896" w:name="_MON_1430813239"/>
    <w:bookmarkStart w:id="1897" w:name="_MON_1435487177"/>
    <w:bookmarkStart w:id="1898" w:name="_MON_1435487412"/>
    <w:bookmarkStart w:id="1899" w:name="_MON_1441025552"/>
    <w:bookmarkStart w:id="1900" w:name="_MON_1441025579"/>
    <w:bookmarkStart w:id="1901" w:name="_MON_1443266276"/>
    <w:bookmarkStart w:id="1902" w:name="_MON_1443267279"/>
    <w:bookmarkStart w:id="1903" w:name="_MON_1443267361"/>
    <w:bookmarkStart w:id="1904" w:name="_MON_1446468040"/>
    <w:bookmarkStart w:id="1905" w:name="_MON_1451719126"/>
    <w:bookmarkStart w:id="1906" w:name="_MON_1451720274"/>
    <w:bookmarkStart w:id="1907" w:name="_MON_1451728002"/>
    <w:bookmarkStart w:id="1908" w:name="_MON_1451728027"/>
    <w:bookmarkStart w:id="1909" w:name="_MON_1451728036"/>
    <w:bookmarkStart w:id="1910" w:name="_MON_1453870668"/>
    <w:bookmarkStart w:id="1911" w:name="_MON_1453871418"/>
    <w:bookmarkStart w:id="1912" w:name="_MON_1456743705"/>
    <w:bookmarkStart w:id="1913" w:name="_MON_1456743718"/>
    <w:bookmarkStart w:id="1914" w:name="_MON_1456743792"/>
    <w:bookmarkStart w:id="1915" w:name="_MON_1458734004"/>
    <w:bookmarkStart w:id="1916" w:name="_MON_1458976033"/>
    <w:bookmarkStart w:id="1917" w:name="_MON_1355310806"/>
    <w:bookmarkStart w:id="1918" w:name="_MON_1359137093"/>
    <w:bookmarkStart w:id="1919" w:name="_MON_1359138770"/>
    <w:bookmarkStart w:id="1920" w:name="_MON_1359138821"/>
    <w:bookmarkStart w:id="1921" w:name="_MON_1359138849"/>
    <w:bookmarkStart w:id="1922" w:name="_MON_1359138875"/>
    <w:bookmarkStart w:id="1923" w:name="_MON_1359138905"/>
    <w:bookmarkStart w:id="1924" w:name="_MON_1359138954"/>
    <w:bookmarkStart w:id="1925" w:name="_MON_1359383665"/>
    <w:bookmarkStart w:id="1926" w:name="_MON_1359639000"/>
    <w:bookmarkStart w:id="1927" w:name="_MON_1359639975"/>
    <w:bookmarkStart w:id="1928" w:name="_MON_1364036342"/>
    <w:bookmarkStart w:id="1929" w:name="_MON_1364291092"/>
    <w:bookmarkStart w:id="1930" w:name="_MON_1372082663"/>
    <w:bookmarkStart w:id="1931" w:name="_MON_1372596115"/>
    <w:bookmarkStart w:id="1932" w:name="_MON_1372597192"/>
    <w:bookmarkStart w:id="1933" w:name="_MON_1380185196"/>
    <w:bookmarkStart w:id="1934" w:name="_MON_1380525150"/>
    <w:bookmarkStart w:id="1935" w:name="_MON_1380526341"/>
    <w:bookmarkStart w:id="1936" w:name="_MON_1387463082"/>
    <w:bookmarkStart w:id="1937" w:name="_MON_1387463253"/>
    <w:bookmarkStart w:id="1938" w:name="_MON_1388503175"/>
    <w:bookmarkStart w:id="1939" w:name="_MON_1388503366"/>
    <w:bookmarkStart w:id="1940" w:name="_MON_1388504852"/>
    <w:bookmarkStart w:id="1941" w:name="_MON_1395045572"/>
    <w:bookmarkStart w:id="1942" w:name="_MON_1396090857"/>
    <w:bookmarkStart w:id="1943" w:name="_MON_1396331261"/>
    <w:bookmarkStart w:id="1944" w:name="_MON_1396341116"/>
    <w:bookmarkStart w:id="1945" w:name="_MON_1396341142"/>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Start w:id="1946" w:name="_MON_1424765522"/>
    <w:bookmarkEnd w:id="1946"/>
    <w:p w14:paraId="659F7CEF" w14:textId="4ACE3F89" w:rsidR="00D946C8" w:rsidRPr="0088338F" w:rsidRDefault="003504D4" w:rsidP="003C18A9">
      <w:pPr>
        <w:jc w:val="both"/>
        <w:rPr>
          <w:rFonts w:ascii="Arial" w:hAnsi="Arial" w:cs="Arial"/>
          <w:sz w:val="20"/>
          <w:szCs w:val="20"/>
        </w:rPr>
      </w:pPr>
      <w:r w:rsidRPr="0088338F">
        <w:rPr>
          <w:rFonts w:ascii="Arial" w:hAnsi="Arial" w:cs="Arial"/>
        </w:rPr>
        <w:object w:dxaOrig="15542" w:dyaOrig="6552" w14:anchorId="12CB9480">
          <v:shape id="_x0000_i1080" type="#_x0000_t75" style="width:734.4pt;height:326.4pt" o:ole="" o:preferrelative="f">
            <v:imagedata r:id="rId139" o:title=""/>
            <o:lock v:ext="edit" aspectratio="f"/>
          </v:shape>
          <o:OLEObject Type="Embed" ProgID="Excel.Sheet.8" ShapeID="_x0000_i1080" DrawAspect="Content" ObjectID="_1551591581" r:id="rId140"/>
        </w:object>
      </w:r>
    </w:p>
    <w:p w14:paraId="3288BE4F" w14:textId="77777777" w:rsidR="00382CE1" w:rsidRPr="0088338F" w:rsidRDefault="007B7908" w:rsidP="003C18A9">
      <w:pPr>
        <w:jc w:val="both"/>
        <w:rPr>
          <w:rFonts w:ascii="Arial" w:hAnsi="Arial" w:cs="Arial"/>
          <w:sz w:val="20"/>
          <w:szCs w:val="20"/>
        </w:rPr>
      </w:pPr>
      <w:r w:rsidRPr="0088338F">
        <w:rPr>
          <w:rFonts w:ascii="Arial" w:hAnsi="Arial" w:cs="Arial"/>
          <w:sz w:val="20"/>
          <w:szCs w:val="20"/>
        </w:rPr>
        <w:br w:type="page"/>
      </w:r>
    </w:p>
    <w:bookmarkStart w:id="1947" w:name="_MON_1435497070"/>
    <w:bookmarkStart w:id="1948" w:name="_MON_1441025637"/>
    <w:bookmarkStart w:id="1949" w:name="_MON_1443267415"/>
    <w:bookmarkStart w:id="1950" w:name="_MON_1446468122"/>
    <w:bookmarkStart w:id="1951" w:name="_MON_1451719640"/>
    <w:bookmarkStart w:id="1952" w:name="_MON_1453871094"/>
    <w:bookmarkStart w:id="1953" w:name="_MON_1456743762"/>
    <w:bookmarkStart w:id="1954" w:name="_MON_1456743838"/>
    <w:bookmarkStart w:id="1955" w:name="_MON_1456743880"/>
    <w:bookmarkStart w:id="1956" w:name="_MON_1458734435"/>
    <w:bookmarkStart w:id="1957" w:name="_MON_1355310860"/>
    <w:bookmarkStart w:id="1958" w:name="_MON_1359137145"/>
    <w:bookmarkStart w:id="1959" w:name="_MON_1359383699"/>
    <w:bookmarkStart w:id="1960" w:name="_MON_1359639162"/>
    <w:bookmarkStart w:id="1961" w:name="_MON_1359639995"/>
    <w:bookmarkStart w:id="1962" w:name="_MON_1364036424"/>
    <w:bookmarkStart w:id="1963" w:name="_MON_1364036473"/>
    <w:bookmarkStart w:id="1964" w:name="_MON_1364291335"/>
    <w:bookmarkStart w:id="1965" w:name="_MON_1364291430"/>
    <w:bookmarkStart w:id="1966" w:name="_MON_1364395004"/>
    <w:bookmarkStart w:id="1967" w:name="_MON_1372082708"/>
    <w:bookmarkStart w:id="1968" w:name="_MON_1372596294"/>
    <w:bookmarkStart w:id="1969" w:name="_MON_1380185258"/>
    <w:bookmarkStart w:id="1970" w:name="_MON_1380525420"/>
    <w:bookmarkStart w:id="1971" w:name="_MON_1387463193"/>
    <w:bookmarkStart w:id="1972" w:name="_MON_1387463260"/>
    <w:bookmarkStart w:id="1973" w:name="_MON_1388503901"/>
    <w:bookmarkStart w:id="1974" w:name="_MON_1388504071"/>
    <w:bookmarkStart w:id="1975" w:name="_MON_1388504877"/>
    <w:bookmarkStart w:id="1976" w:name="_MON_1395045640"/>
    <w:bookmarkStart w:id="1977" w:name="_MON_1396090873"/>
    <w:bookmarkStart w:id="1978" w:name="_MON_1396331744"/>
    <w:bookmarkStart w:id="1979" w:name="_MON_1396331838"/>
    <w:bookmarkStart w:id="1980" w:name="_MON_1424765602"/>
    <w:bookmarkStart w:id="1981" w:name="_MON_1427538911"/>
    <w:bookmarkStart w:id="1982" w:name="_MON_1427539029"/>
    <w:bookmarkStart w:id="1983" w:name="_MON_1427539210"/>
    <w:bookmarkStart w:id="1984" w:name="_MON_1430813174"/>
    <w:bookmarkStart w:id="1985" w:name="_MON_143548811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Start w:id="1986" w:name="_MON_1435488640"/>
    <w:bookmarkEnd w:id="1986"/>
    <w:p w14:paraId="42F99C3D" w14:textId="49747031" w:rsidR="00D946C8" w:rsidRPr="0088338F" w:rsidRDefault="0088338F" w:rsidP="003C18A9">
      <w:pPr>
        <w:jc w:val="both"/>
        <w:rPr>
          <w:rFonts w:ascii="Arial" w:hAnsi="Arial" w:cs="Arial"/>
          <w:sz w:val="20"/>
          <w:szCs w:val="20"/>
        </w:rPr>
      </w:pPr>
      <w:r w:rsidRPr="0088338F">
        <w:rPr>
          <w:rFonts w:ascii="Arial" w:hAnsi="Arial" w:cs="Arial"/>
        </w:rPr>
        <w:object w:dxaOrig="15583" w:dyaOrig="6101" w14:anchorId="3058877A">
          <v:shape id="_x0000_i1081" type="#_x0000_t75" style="width:736.2pt;height:313.8pt" o:ole="" o:preferrelative="f">
            <v:imagedata r:id="rId141" o:title=""/>
            <o:lock v:ext="edit" aspectratio="f"/>
          </v:shape>
          <o:OLEObject Type="Embed" ProgID="Excel.Sheet.8" ShapeID="_x0000_i1081" DrawAspect="Content" ObjectID="_1551591582" r:id="rId142"/>
        </w:object>
      </w:r>
    </w:p>
    <w:p w14:paraId="7CEBAB32" w14:textId="77777777" w:rsidR="00D946C8" w:rsidRPr="0088338F" w:rsidRDefault="00D946C8" w:rsidP="003C18A9">
      <w:pPr>
        <w:jc w:val="both"/>
        <w:rPr>
          <w:rFonts w:ascii="Arial" w:hAnsi="Arial" w:cs="Arial"/>
          <w:sz w:val="20"/>
          <w:szCs w:val="20"/>
        </w:rPr>
      </w:pPr>
    </w:p>
    <w:p w14:paraId="78139199" w14:textId="77777777" w:rsidR="009623A3" w:rsidRPr="0088338F" w:rsidRDefault="009623A3" w:rsidP="004E3C82">
      <w:pPr>
        <w:jc w:val="both"/>
        <w:rPr>
          <w:rFonts w:ascii="Arial" w:hAnsi="Arial" w:cs="Arial"/>
          <w:sz w:val="20"/>
          <w:szCs w:val="20"/>
        </w:rPr>
      </w:pPr>
    </w:p>
    <w:p w14:paraId="21C5A547" w14:textId="77777777" w:rsidR="009623A3" w:rsidRPr="0088338F" w:rsidRDefault="009623A3" w:rsidP="004E3C82">
      <w:pPr>
        <w:jc w:val="both"/>
        <w:rPr>
          <w:rFonts w:ascii="Arial" w:hAnsi="Arial" w:cs="Arial"/>
          <w:sz w:val="20"/>
          <w:szCs w:val="20"/>
        </w:rPr>
        <w:sectPr w:rsidR="009623A3" w:rsidRPr="0088338F" w:rsidSect="0003014C">
          <w:headerReference w:type="default" r:id="rId143"/>
          <w:pgSz w:w="16838" w:h="11906" w:orient="landscape"/>
          <w:pgMar w:top="1418" w:right="1418" w:bottom="851" w:left="1418" w:header="709" w:footer="709" w:gutter="0"/>
          <w:cols w:space="708"/>
          <w:docGrid w:linePitch="360"/>
        </w:sectPr>
      </w:pPr>
    </w:p>
    <w:p w14:paraId="366250A9" w14:textId="46BB93A7" w:rsidR="009623A3" w:rsidRPr="0088338F" w:rsidRDefault="00390C05" w:rsidP="004E3C82">
      <w:pPr>
        <w:jc w:val="both"/>
        <w:rPr>
          <w:rFonts w:ascii="Arial" w:hAnsi="Arial" w:cs="Arial"/>
          <w:sz w:val="20"/>
          <w:szCs w:val="20"/>
        </w:rPr>
      </w:pPr>
      <w:r w:rsidRPr="0088338F">
        <w:rPr>
          <w:rFonts w:ascii="Arial" w:hAnsi="Arial" w:cs="Arial"/>
        </w:rPr>
        <w:object w:dxaOrig="15542" w:dyaOrig="6784" w14:anchorId="474C562D">
          <v:shape id="_x0000_i1082" type="#_x0000_t75" style="width:716.4pt;height:333.6pt" o:ole="" o:preferrelative="f">
            <v:imagedata r:id="rId144" o:title=""/>
            <o:lock v:ext="edit" aspectratio="f"/>
          </v:shape>
          <o:OLEObject Type="Embed" ProgID="Excel.Sheet.8" ShapeID="_x0000_i1082" DrawAspect="Content" ObjectID="_1551591583" r:id="rId145"/>
        </w:object>
      </w:r>
    </w:p>
    <w:p w14:paraId="74BD4240" w14:textId="77777777" w:rsidR="009623A3" w:rsidRPr="0088338F" w:rsidRDefault="009623A3" w:rsidP="004E3C82">
      <w:pPr>
        <w:jc w:val="both"/>
        <w:rPr>
          <w:rFonts w:ascii="Arial" w:hAnsi="Arial" w:cs="Arial"/>
          <w:sz w:val="20"/>
          <w:szCs w:val="20"/>
        </w:rPr>
      </w:pPr>
    </w:p>
    <w:p w14:paraId="1BA38FCE" w14:textId="10C9CA62" w:rsidR="0003014C" w:rsidRPr="0088338F" w:rsidRDefault="00BE5275" w:rsidP="00C209B0">
      <w:pPr>
        <w:rPr>
          <w:rFonts w:ascii="Arial" w:hAnsi="Arial" w:cs="Arial"/>
          <w:sz w:val="20"/>
          <w:szCs w:val="20"/>
        </w:rPr>
      </w:pPr>
      <w:r w:rsidRPr="0088338F">
        <w:rPr>
          <w:rFonts w:ascii="Arial" w:hAnsi="Arial" w:cs="Arial"/>
          <w:sz w:val="20"/>
          <w:szCs w:val="20"/>
        </w:rPr>
        <w:br w:type="page"/>
      </w:r>
      <w:r w:rsidR="0088338F" w:rsidRPr="0088338F">
        <w:rPr>
          <w:rFonts w:ascii="Arial" w:hAnsi="Arial" w:cs="Arial"/>
        </w:rPr>
        <w:object w:dxaOrig="15583" w:dyaOrig="6334" w14:anchorId="77B8D698">
          <v:shape id="_x0000_i1083" type="#_x0000_t75" style="width:709.2pt;height:323.4pt" o:ole="" o:preferrelative="f">
            <v:imagedata r:id="rId146" o:title=""/>
            <o:lock v:ext="edit" aspectratio="f"/>
          </v:shape>
          <o:OLEObject Type="Embed" ProgID="Excel.Sheet.8" ShapeID="_x0000_i1083" DrawAspect="Content" ObjectID="_1551591584" r:id="rId147"/>
        </w:object>
      </w:r>
    </w:p>
    <w:p w14:paraId="6CD0A3BB" w14:textId="40C1FBB6" w:rsidR="00784C9B" w:rsidRPr="0088338F" w:rsidRDefault="00784C9B" w:rsidP="00784C9B">
      <w:pPr>
        <w:jc w:val="both"/>
        <w:rPr>
          <w:rFonts w:ascii="Arial" w:hAnsi="Arial" w:cs="Arial"/>
          <w:sz w:val="20"/>
          <w:szCs w:val="20"/>
        </w:rPr>
      </w:pPr>
      <w:r w:rsidRPr="0088338F">
        <w:rPr>
          <w:rFonts w:ascii="Arial" w:hAnsi="Arial" w:cs="Arial"/>
          <w:sz w:val="20"/>
          <w:szCs w:val="20"/>
        </w:rPr>
        <w:t>Mzdové a sociálne náklady na členov štatutárnych orgánov a členov dozornej rady boli k 31. decembru 201</w:t>
      </w:r>
      <w:r w:rsidR="00B17BC0" w:rsidRPr="0088338F">
        <w:rPr>
          <w:rFonts w:ascii="Arial" w:hAnsi="Arial" w:cs="Arial"/>
          <w:sz w:val="20"/>
          <w:szCs w:val="20"/>
        </w:rPr>
        <w:t>6</w:t>
      </w:r>
      <w:r w:rsidRPr="0088338F">
        <w:rPr>
          <w:rFonts w:ascii="Arial" w:hAnsi="Arial" w:cs="Arial"/>
          <w:sz w:val="20"/>
          <w:szCs w:val="20"/>
        </w:rPr>
        <w:t xml:space="preserve"> v hodnote </w:t>
      </w:r>
      <w:r w:rsidR="00076474" w:rsidRPr="0088338F">
        <w:rPr>
          <w:rFonts w:ascii="Arial" w:hAnsi="Arial" w:cs="Arial"/>
          <w:sz w:val="20"/>
          <w:szCs w:val="20"/>
        </w:rPr>
        <w:t>6</w:t>
      </w:r>
      <w:r w:rsidR="00253C5E" w:rsidRPr="0088338F">
        <w:rPr>
          <w:rFonts w:ascii="Arial" w:hAnsi="Arial" w:cs="Arial"/>
          <w:sz w:val="20"/>
          <w:szCs w:val="20"/>
        </w:rPr>
        <w:t>90</w:t>
      </w:r>
      <w:r w:rsidRPr="0088338F">
        <w:rPr>
          <w:rFonts w:ascii="Arial" w:hAnsi="Arial" w:cs="Arial"/>
          <w:sz w:val="20"/>
          <w:szCs w:val="20"/>
        </w:rPr>
        <w:t xml:space="preserve"> tis. EUR (201</w:t>
      </w:r>
      <w:r w:rsidR="00B17BC0" w:rsidRPr="0088338F">
        <w:rPr>
          <w:rFonts w:ascii="Arial" w:hAnsi="Arial" w:cs="Arial"/>
          <w:sz w:val="20"/>
          <w:szCs w:val="20"/>
        </w:rPr>
        <w:t>5</w:t>
      </w:r>
      <w:r w:rsidRPr="0088338F">
        <w:rPr>
          <w:rFonts w:ascii="Arial" w:hAnsi="Arial" w:cs="Arial"/>
          <w:sz w:val="20"/>
          <w:szCs w:val="20"/>
        </w:rPr>
        <w:t xml:space="preserve">: </w:t>
      </w:r>
      <w:r w:rsidR="00785C91" w:rsidRPr="0088338F">
        <w:rPr>
          <w:rFonts w:ascii="Arial" w:hAnsi="Arial" w:cs="Arial"/>
          <w:sz w:val="20"/>
          <w:szCs w:val="20"/>
        </w:rPr>
        <w:t>6</w:t>
      </w:r>
      <w:r w:rsidR="00B17BC0" w:rsidRPr="0088338F">
        <w:rPr>
          <w:rFonts w:ascii="Arial" w:hAnsi="Arial" w:cs="Arial"/>
          <w:sz w:val="20"/>
          <w:szCs w:val="20"/>
        </w:rPr>
        <w:t>41</w:t>
      </w:r>
      <w:r w:rsidRPr="0088338F">
        <w:rPr>
          <w:rFonts w:ascii="Arial" w:hAnsi="Arial" w:cs="Arial"/>
          <w:sz w:val="20"/>
          <w:szCs w:val="20"/>
        </w:rPr>
        <w:t xml:space="preserve"> tis. EUR). Členovia bankových orgánov v roku 201</w:t>
      </w:r>
      <w:r w:rsidR="00B17BC0" w:rsidRPr="0088338F">
        <w:rPr>
          <w:rFonts w:ascii="Arial" w:hAnsi="Arial" w:cs="Arial"/>
          <w:sz w:val="20"/>
          <w:szCs w:val="20"/>
        </w:rPr>
        <w:t>6</w:t>
      </w:r>
      <w:r w:rsidRPr="0088338F">
        <w:rPr>
          <w:rFonts w:ascii="Arial" w:hAnsi="Arial" w:cs="Arial"/>
          <w:sz w:val="20"/>
          <w:szCs w:val="20"/>
        </w:rPr>
        <w:t xml:space="preserve"> a 201</w:t>
      </w:r>
      <w:r w:rsidR="00B17BC0" w:rsidRPr="0088338F">
        <w:rPr>
          <w:rFonts w:ascii="Arial" w:hAnsi="Arial" w:cs="Arial"/>
          <w:sz w:val="20"/>
          <w:szCs w:val="20"/>
        </w:rPr>
        <w:t>5</w:t>
      </w:r>
      <w:r w:rsidRPr="0088338F">
        <w:rPr>
          <w:rFonts w:ascii="Arial" w:hAnsi="Arial" w:cs="Arial"/>
          <w:sz w:val="20"/>
          <w:szCs w:val="20"/>
        </w:rPr>
        <w:t xml:space="preserve"> neobdržali žiadnu odmenu v nepeňažnej forme.</w:t>
      </w:r>
    </w:p>
    <w:p w14:paraId="1B262B3B" w14:textId="77777777" w:rsidR="0003014C" w:rsidRPr="0088338F" w:rsidRDefault="0003014C" w:rsidP="00C209B0">
      <w:pPr>
        <w:rPr>
          <w:rFonts w:ascii="Arial" w:hAnsi="Arial" w:cs="Arial"/>
          <w:sz w:val="18"/>
          <w:szCs w:val="18"/>
        </w:rPr>
      </w:pPr>
    </w:p>
    <w:p w14:paraId="2255384C" w14:textId="77777777" w:rsidR="004E3C82" w:rsidRPr="0088338F" w:rsidRDefault="00960A3F" w:rsidP="00C209B0">
      <w:pPr>
        <w:rPr>
          <w:rFonts w:ascii="Arial" w:hAnsi="Arial" w:cs="Arial"/>
          <w:sz w:val="18"/>
          <w:szCs w:val="18"/>
        </w:rPr>
        <w:sectPr w:rsidR="004E3C82" w:rsidRPr="0088338F" w:rsidSect="00D946C8">
          <w:pgSz w:w="16838" w:h="11906" w:orient="landscape"/>
          <w:pgMar w:top="1418" w:right="1418" w:bottom="1418" w:left="1418" w:header="709" w:footer="709" w:gutter="0"/>
          <w:cols w:space="708"/>
          <w:docGrid w:linePitch="360"/>
        </w:sectPr>
      </w:pPr>
      <w:r w:rsidRPr="0088338F">
        <w:rPr>
          <w:rFonts w:ascii="Arial" w:hAnsi="Arial" w:cs="Arial"/>
          <w:sz w:val="18"/>
          <w:szCs w:val="18"/>
        </w:rPr>
        <w:t xml:space="preserve"> </w:t>
      </w:r>
    </w:p>
    <w:p w14:paraId="3A5D887D" w14:textId="77777777" w:rsidR="00B36751" w:rsidRPr="0088338F" w:rsidRDefault="00B36751"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lastRenderedPageBreak/>
        <w:t>finančné nástroje – trhové riziko</w:t>
      </w:r>
    </w:p>
    <w:p w14:paraId="3149E4D3" w14:textId="77777777" w:rsidR="00B36751" w:rsidRPr="0088338F" w:rsidRDefault="00B36751" w:rsidP="00B36751">
      <w:pPr>
        <w:pStyle w:val="NormlnyArial"/>
        <w:rPr>
          <w:sz w:val="16"/>
          <w:szCs w:val="16"/>
        </w:rPr>
      </w:pPr>
    </w:p>
    <w:p w14:paraId="7ADC3C14" w14:textId="77777777" w:rsidR="002A7FA6" w:rsidRPr="0088338F" w:rsidRDefault="002A7FA6" w:rsidP="002A7FA6">
      <w:pPr>
        <w:pStyle w:val="NormlnyArial"/>
      </w:pPr>
      <w:r w:rsidRPr="0088338F">
        <w:t>Trhové riziká, ktorým je banka pri svojej činnosti vystavená, závisia od miery expozície v jednotlivých faktoroch trhových rizík, ktorými sú predovšetkým zmena úrokových sadzieb, výmenných kurzov a cien inštrumentov kapitálových a finančných trhov.</w:t>
      </w:r>
    </w:p>
    <w:p w14:paraId="6DF9CBC4" w14:textId="77777777" w:rsidR="00C668BC" w:rsidRPr="0088338F" w:rsidRDefault="00C668BC" w:rsidP="00C668BC">
      <w:pPr>
        <w:pStyle w:val="NormlnyArial"/>
        <w:rPr>
          <w:szCs w:val="20"/>
        </w:rPr>
      </w:pPr>
    </w:p>
    <w:p w14:paraId="230B0BD3" w14:textId="77777777" w:rsidR="00C668BC" w:rsidRPr="0088338F" w:rsidRDefault="00C668BC" w:rsidP="00C668BC">
      <w:pPr>
        <w:pStyle w:val="NormlnyArial"/>
      </w:pPr>
      <w:r w:rsidRPr="0088338F">
        <w:t>Vzhľadom na optimalizáciu zaradenia dlhových cenných papierov v portfóliách banky, volatilita cien týchto cenných papierov nemala významnejší dopad ani na hodnotu vlastných zdrojov banky, ani na jej hospodársky výsledok.</w:t>
      </w:r>
    </w:p>
    <w:p w14:paraId="79D16D99" w14:textId="77777777" w:rsidR="00C668BC" w:rsidRPr="0088338F" w:rsidRDefault="00C668BC" w:rsidP="00C668BC">
      <w:pPr>
        <w:pStyle w:val="NormlnyArial"/>
      </w:pPr>
    </w:p>
    <w:p w14:paraId="72667F83" w14:textId="77777777" w:rsidR="00C668BC" w:rsidRPr="0088338F" w:rsidRDefault="00C668BC" w:rsidP="00C668BC">
      <w:pPr>
        <w:pStyle w:val="NormlnyArial"/>
      </w:pPr>
      <w:r w:rsidRPr="0088338F">
        <w:t>Od konca predchádzajúceho účtovného obdobia nenastali žiadne udalosti, ktoré by mali významný vplyv na trhové riziká vyplývajúce z finančných nástrojov.</w:t>
      </w:r>
    </w:p>
    <w:p w14:paraId="6136CB62" w14:textId="77777777" w:rsidR="00C61586" w:rsidRPr="0088338F" w:rsidRDefault="00C61586" w:rsidP="00B36751">
      <w:pPr>
        <w:pStyle w:val="NormlnyArial"/>
        <w:rPr>
          <w:sz w:val="16"/>
          <w:szCs w:val="16"/>
        </w:rPr>
      </w:pPr>
    </w:p>
    <w:p w14:paraId="4BCB3582" w14:textId="77777777" w:rsidR="00B36751" w:rsidRPr="0088338F" w:rsidRDefault="00B36751" w:rsidP="002B3BCE">
      <w:pPr>
        <w:pStyle w:val="NormlnyArial"/>
        <w:numPr>
          <w:ilvl w:val="0"/>
          <w:numId w:val="8"/>
        </w:numPr>
        <w:tabs>
          <w:tab w:val="clear" w:pos="930"/>
          <w:tab w:val="left" w:pos="567"/>
        </w:tabs>
        <w:ind w:left="567" w:hanging="567"/>
        <w:rPr>
          <w:b/>
        </w:rPr>
      </w:pPr>
      <w:r w:rsidRPr="0088338F">
        <w:rPr>
          <w:b/>
        </w:rPr>
        <w:t>Úrokové riziko</w:t>
      </w:r>
    </w:p>
    <w:p w14:paraId="4DD0A74C" w14:textId="77777777" w:rsidR="00B36751" w:rsidRPr="0088338F" w:rsidRDefault="00B36751" w:rsidP="00B36751">
      <w:pPr>
        <w:pStyle w:val="NormlnyArial"/>
        <w:rPr>
          <w:sz w:val="16"/>
          <w:szCs w:val="16"/>
        </w:rPr>
      </w:pPr>
    </w:p>
    <w:p w14:paraId="58AEFE1A" w14:textId="77777777" w:rsidR="002A7FA6" w:rsidRPr="0088338F" w:rsidRDefault="002A7FA6" w:rsidP="002A7FA6">
      <w:pPr>
        <w:pStyle w:val="NormlnyArial"/>
      </w:pPr>
      <w:r w:rsidRPr="0088338F">
        <w:t>Úrokové riziko je riziko zmeny hodnoty portfólií banky závisiace na durácii týchto portfólií, resp. zmeny čistých úrokových výnosov, v dôsledku zmeny trhových úrokových sadzieb. Na meranie úrokovej citlivosti aktív a pasív používa banka GAP analýzu. Aktíva a pasíva banky sú zaradené do časových segmentov v závislosti od času precenenia daného inštrumentu alebo jeho reinvestície. Veľkosť úrokového GAPu potom vyjadruje mieru rizika potenciálnej straty, resp. zisku proti projektovaným výnosom vo forme zmeny čistého úrokového výnosu, vyplývajúceho zo zmien trhových úrokových sadzieb pri exaktne stanovených obmedzujúcich podmienkach modelu. Banka má nastavený limit maximálnej úrokovej expozície daný maximálnou teoretickou zmenou čistého úrokového výnosu v horizonte jedného roka od momentu hodnotenia bankových pozícií.</w:t>
      </w:r>
    </w:p>
    <w:p w14:paraId="4C571013" w14:textId="77777777" w:rsidR="002A7FA6" w:rsidRPr="0088338F" w:rsidRDefault="002A7FA6" w:rsidP="002A7FA6">
      <w:pPr>
        <w:pStyle w:val="NormlnyArial"/>
        <w:rPr>
          <w:szCs w:val="20"/>
        </w:rPr>
      </w:pPr>
    </w:p>
    <w:p w14:paraId="43108092" w14:textId="77777777" w:rsidR="002A7FA6" w:rsidRPr="0088338F" w:rsidRDefault="002A7FA6" w:rsidP="002A7FA6">
      <w:pPr>
        <w:pStyle w:val="NormlnyArial"/>
      </w:pPr>
      <w:r w:rsidRPr="0088338F">
        <w:t>Na meranie úrokového rizika bankovej a obchodnej knihy banka používa aj model úrokovej citlivosti, založený na modifikovanej durácii a konvexite. Denne sa touto metódou monitoruje úroková citlivosť všetkých bankových portfólií. Na meranie úrokového rizika obchodnej knihy banka používa model VaR a úrokovej citlivosti, na ktoré má nastavené a denne monitorované limity maximálnej rizikovej expozície.</w:t>
      </w:r>
    </w:p>
    <w:p w14:paraId="6B212872" w14:textId="77777777" w:rsidR="002A7FA6" w:rsidRPr="0088338F" w:rsidRDefault="002A7FA6" w:rsidP="002A7FA6">
      <w:pPr>
        <w:pStyle w:val="NormlnyArial"/>
      </w:pPr>
    </w:p>
    <w:p w14:paraId="72197B39" w14:textId="2CF7B44A" w:rsidR="002A7FA6" w:rsidRPr="0088338F" w:rsidRDefault="002A7FA6" w:rsidP="002A7FA6">
      <w:pPr>
        <w:pStyle w:val="NormlnyArial"/>
      </w:pPr>
      <w:r w:rsidRPr="0088338F">
        <w:t xml:space="preserve">Vzhľadom na to, že banka má v bankovej knihe nezanedbateľné pozície vo fixne úročených dlhopisoch, prijala rozhodnutie o čiastočnom hedgingu niektorých pozícií. Hedgingovými nástrojmi sú úrokové swapy, vďaka ktorým banka udržuje celkovú úrokovú pozíciu bankovej knihy na akceptovateľnej úrovni a zároveň eliminuje volatilitu </w:t>
      </w:r>
      <w:r w:rsidR="008E6838" w:rsidRPr="0088338F">
        <w:t>hospodárskeho</w:t>
      </w:r>
      <w:r w:rsidRPr="0088338F">
        <w:t xml:space="preserve"> výsledku.</w:t>
      </w:r>
    </w:p>
    <w:p w14:paraId="5699236E" w14:textId="77777777" w:rsidR="00200890" w:rsidRPr="0088338F" w:rsidRDefault="00200890" w:rsidP="00B36751">
      <w:pPr>
        <w:pStyle w:val="NormlnyArial"/>
      </w:pPr>
    </w:p>
    <w:p w14:paraId="4BF11830" w14:textId="77777777" w:rsidR="00200890" w:rsidRPr="0088338F" w:rsidRDefault="00200890" w:rsidP="00B36751">
      <w:pPr>
        <w:pStyle w:val="NormlnyArial"/>
      </w:pPr>
    </w:p>
    <w:p w14:paraId="7B39D27C" w14:textId="77777777" w:rsidR="00200890" w:rsidRPr="0088338F" w:rsidRDefault="00200890" w:rsidP="00B36751">
      <w:pPr>
        <w:pStyle w:val="NormlnyArial"/>
      </w:pPr>
    </w:p>
    <w:p w14:paraId="744CD235" w14:textId="77777777" w:rsidR="00200890" w:rsidRPr="0088338F" w:rsidRDefault="00200890" w:rsidP="00B36751">
      <w:pPr>
        <w:pStyle w:val="NormlnyArial"/>
      </w:pPr>
    </w:p>
    <w:p w14:paraId="42294280" w14:textId="77777777" w:rsidR="00200890" w:rsidRPr="0088338F" w:rsidRDefault="00200890" w:rsidP="00B36751">
      <w:pPr>
        <w:pStyle w:val="NormlnyArial"/>
      </w:pPr>
    </w:p>
    <w:p w14:paraId="43E8FD18" w14:textId="77777777" w:rsidR="00200890" w:rsidRPr="0088338F" w:rsidRDefault="00200890" w:rsidP="00B36751">
      <w:pPr>
        <w:pStyle w:val="NormlnyArial"/>
      </w:pPr>
    </w:p>
    <w:p w14:paraId="5C425E54" w14:textId="77777777" w:rsidR="00200890" w:rsidRPr="0088338F" w:rsidRDefault="00200890" w:rsidP="00B36751">
      <w:pPr>
        <w:pStyle w:val="NormlnyArial"/>
      </w:pPr>
    </w:p>
    <w:p w14:paraId="7929A9D5" w14:textId="77777777" w:rsidR="00200890" w:rsidRPr="0088338F" w:rsidRDefault="00200890" w:rsidP="00B36751">
      <w:pPr>
        <w:pStyle w:val="NormlnyArial"/>
      </w:pPr>
    </w:p>
    <w:p w14:paraId="4E65511B" w14:textId="77777777" w:rsidR="00200890" w:rsidRPr="0088338F" w:rsidRDefault="00200890" w:rsidP="00B36751">
      <w:pPr>
        <w:pStyle w:val="NormlnyArial"/>
      </w:pPr>
    </w:p>
    <w:p w14:paraId="1FE5550C" w14:textId="77777777" w:rsidR="00200890" w:rsidRPr="0088338F" w:rsidRDefault="00200890" w:rsidP="00B36751">
      <w:pPr>
        <w:pStyle w:val="NormlnyArial"/>
      </w:pPr>
    </w:p>
    <w:p w14:paraId="3BFC77D7" w14:textId="77777777" w:rsidR="00200890" w:rsidRPr="0088338F" w:rsidRDefault="00200890" w:rsidP="00B36751">
      <w:pPr>
        <w:pStyle w:val="NormlnyArial"/>
      </w:pPr>
    </w:p>
    <w:p w14:paraId="5F8E3BB6" w14:textId="32BB3DEF" w:rsidR="00B36751" w:rsidRPr="0088338F" w:rsidRDefault="00F51246" w:rsidP="00B36751">
      <w:pPr>
        <w:pStyle w:val="NormlnyArial"/>
      </w:pPr>
      <w:r w:rsidRPr="0088338F">
        <w:br w:type="page"/>
      </w:r>
      <w:r w:rsidR="00B36751" w:rsidRPr="0088338F">
        <w:lastRenderedPageBreak/>
        <w:t>Priemerné efektívne úrokové sadzby aktív a </w:t>
      </w:r>
      <w:r w:rsidR="00EC5EFF" w:rsidRPr="0088338F">
        <w:t>záväzkov</w:t>
      </w:r>
      <w:r w:rsidR="00B36751" w:rsidRPr="0088338F">
        <w:t xml:space="preserve"> k 31. decembru 20</w:t>
      </w:r>
      <w:r w:rsidR="00DE3AA4" w:rsidRPr="0088338F">
        <w:t>1</w:t>
      </w:r>
      <w:r w:rsidR="00390C05" w:rsidRPr="0088338F">
        <w:t>6</w:t>
      </w:r>
      <w:r w:rsidR="00B36751" w:rsidRPr="0088338F">
        <w:t xml:space="preserve"> a obdobia, po ktorých sa tieto sadzby prehodnotia, boli nasledovné:</w:t>
      </w:r>
    </w:p>
    <w:bookmarkStart w:id="1987" w:name="_MON_1297500767"/>
    <w:bookmarkStart w:id="1988" w:name="_MON_1297500777"/>
    <w:bookmarkStart w:id="1989" w:name="_MON_1322826289"/>
    <w:bookmarkStart w:id="1990" w:name="_MON_1322826331"/>
    <w:bookmarkStart w:id="1991" w:name="_MON_1322827202"/>
    <w:bookmarkStart w:id="1992" w:name="_MON_1328689623"/>
    <w:bookmarkStart w:id="1993" w:name="_MON_1355311097"/>
    <w:bookmarkStart w:id="1994" w:name="_MON_1359544408"/>
    <w:bookmarkStart w:id="1995" w:name="_MON_1389890515"/>
    <w:bookmarkStart w:id="1996" w:name="_MON_1391000455"/>
    <w:bookmarkStart w:id="1997" w:name="_MON_1391956211"/>
    <w:bookmarkStart w:id="1998" w:name="_MON_1422095797"/>
    <w:bookmarkStart w:id="1999" w:name="_MON_1422790283"/>
    <w:bookmarkStart w:id="2000" w:name="_MON_1422790554"/>
    <w:bookmarkStart w:id="2001" w:name="_MON_1422797763"/>
    <w:bookmarkStart w:id="2002" w:name="_MON_1453639361"/>
    <w:bookmarkStart w:id="2003" w:name="_MON_1454321829"/>
    <w:bookmarkStart w:id="2004" w:name="_MON_1485681858"/>
    <w:bookmarkStart w:id="2005" w:name="_MON_1485683319"/>
    <w:bookmarkStart w:id="2006" w:name="_MON_1485683515"/>
    <w:bookmarkStart w:id="2007" w:name="_MON_1485688090"/>
    <w:bookmarkStart w:id="2008" w:name="_MON_1485688598"/>
    <w:bookmarkStart w:id="2009" w:name="_MON_1485688775"/>
    <w:bookmarkStart w:id="2010" w:name="_MON_1485690611"/>
    <w:bookmarkStart w:id="2011" w:name="_MON_1297148021"/>
    <w:bookmarkStart w:id="2012" w:name="_MON_1297165956"/>
    <w:bookmarkStart w:id="2013" w:name="OLE_LINK2"/>
    <w:bookmarkStart w:id="2014" w:name="OLE_LINK1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Start w:id="2015" w:name="_MON_1297186354"/>
    <w:bookmarkEnd w:id="2015"/>
    <w:p w14:paraId="6E958F54" w14:textId="5E78888E" w:rsidR="00EF4694" w:rsidRPr="0088338F" w:rsidRDefault="00EF0EC0" w:rsidP="005109FA">
      <w:pPr>
        <w:pStyle w:val="NormlnyArial"/>
      </w:pPr>
      <w:r w:rsidRPr="0088338F">
        <w:object w:dxaOrig="12188" w:dyaOrig="5635" w14:anchorId="29E05D69">
          <v:shape id="_x0000_i1084" type="#_x0000_t75" style="width:463.8pt;height:272.4pt" o:ole="">
            <v:imagedata r:id="rId148" o:title=""/>
            <o:lock v:ext="edit" aspectratio="f"/>
          </v:shape>
          <o:OLEObject Type="Embed" ProgID="Excel.Sheet.8" ShapeID="_x0000_i1084" DrawAspect="Content" ObjectID="_1551591585" r:id="rId149"/>
        </w:object>
      </w:r>
      <w:bookmarkEnd w:id="2013"/>
      <w:bookmarkEnd w:id="2014"/>
    </w:p>
    <w:p w14:paraId="7AA87E07" w14:textId="496032DB" w:rsidR="00CC24B5" w:rsidRPr="0088338F" w:rsidRDefault="00CC24B5" w:rsidP="00EF4694">
      <w:pPr>
        <w:pStyle w:val="NormlnyArial"/>
      </w:pPr>
      <w:r w:rsidRPr="0088338F">
        <w:t>Priemerné efektívne úrokové sadzby aktív a </w:t>
      </w:r>
      <w:r w:rsidR="0058566E" w:rsidRPr="0088338F">
        <w:t>záväzkov</w:t>
      </w:r>
      <w:r w:rsidRPr="0088338F">
        <w:t xml:space="preserve"> k 31. decembru 20</w:t>
      </w:r>
      <w:r w:rsidR="00C61586" w:rsidRPr="0088338F">
        <w:t>1</w:t>
      </w:r>
      <w:r w:rsidR="00390C05" w:rsidRPr="0088338F">
        <w:t>5</w:t>
      </w:r>
      <w:r w:rsidRPr="0088338F">
        <w:t xml:space="preserve"> </w:t>
      </w:r>
      <w:r w:rsidR="009124A8" w:rsidRPr="0088338F">
        <w:t xml:space="preserve">a </w:t>
      </w:r>
      <w:r w:rsidRPr="0088338F">
        <w:t>obdobia, po ktorých sa tieto sadzby prehodnotia, boli nasledovné:</w:t>
      </w:r>
    </w:p>
    <w:p w14:paraId="2CF7BDC4" w14:textId="491F9479" w:rsidR="00DF1C02" w:rsidRPr="0088338F" w:rsidRDefault="00390C05" w:rsidP="00DF1C02">
      <w:pPr>
        <w:pStyle w:val="NormlnyArial"/>
      </w:pPr>
      <w:r w:rsidRPr="0088338F">
        <w:object w:dxaOrig="12221" w:dyaOrig="6332" w14:anchorId="33F495B2">
          <v:shape id="_x0000_i1085" type="#_x0000_t75" style="width:464.4pt;height:306.6pt" o:ole="">
            <v:imagedata r:id="rId150" o:title=""/>
            <o:lock v:ext="edit" aspectratio="f"/>
          </v:shape>
          <o:OLEObject Type="Embed" ProgID="Excel.Sheet.8" ShapeID="_x0000_i1085" DrawAspect="Content" ObjectID="_1551591586" r:id="rId151"/>
        </w:object>
      </w:r>
      <w:r w:rsidR="006F7190" w:rsidRPr="0088338F">
        <w:br w:type="page"/>
      </w:r>
      <w:r w:rsidR="00DF1C02" w:rsidRPr="0088338F">
        <w:lastRenderedPageBreak/>
        <w:t xml:space="preserve">Analýza úrokovej citlivosti vychádza z predpokladu vzájomne odpovedajúceho pohybu výnosovej krivky. </w:t>
      </w:r>
      <w:r w:rsidR="00C17542" w:rsidRPr="0088338F">
        <w:t>Doluu</w:t>
      </w:r>
      <w:r w:rsidR="00DF1C02" w:rsidRPr="0088338F">
        <w:t>vedená tabuľka znázorňuje zmenu hodnoty zisku po zdanení a vlastného imania banky pod vplyvom možnej zmeny úrokovej miery.</w:t>
      </w:r>
    </w:p>
    <w:p w14:paraId="3737DF58" w14:textId="140A5EE8" w:rsidR="00DF1C02" w:rsidRPr="0088338F" w:rsidRDefault="00DF1C02" w:rsidP="00DF1C02">
      <w:pPr>
        <w:pStyle w:val="NormlnyArial"/>
      </w:pPr>
    </w:p>
    <w:bookmarkStart w:id="2016" w:name="_MON_1391000759"/>
    <w:bookmarkStart w:id="2017" w:name="_MON_1391956292"/>
    <w:bookmarkStart w:id="2018" w:name="_MON_1422095924"/>
    <w:bookmarkStart w:id="2019" w:name="_MON_1422797835"/>
    <w:bookmarkStart w:id="2020" w:name="_MON_1453639477"/>
    <w:bookmarkStart w:id="2021" w:name="_MON_1453639507"/>
    <w:bookmarkStart w:id="2022" w:name="_MON_1454311421"/>
    <w:bookmarkStart w:id="2023" w:name="_MON_1297177285"/>
    <w:bookmarkStart w:id="2024" w:name="_MON_1297183893"/>
    <w:bookmarkStart w:id="2025" w:name="_MON_1297186372"/>
    <w:bookmarkStart w:id="2026" w:name="_MON_1297500805"/>
    <w:bookmarkStart w:id="2027" w:name="_MON_1322826358"/>
    <w:bookmarkStart w:id="2028" w:name="_MON_1328689850"/>
    <w:bookmarkStart w:id="2029" w:name="_MON_1355311201"/>
    <w:bookmarkStart w:id="2030" w:name="_MON_1359544579"/>
    <w:bookmarkStart w:id="2031" w:name="_MON_1389890572"/>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Start w:id="2032" w:name="_MON_1390887469"/>
    <w:bookmarkEnd w:id="2032"/>
    <w:p w14:paraId="7E08CD91" w14:textId="38DB4AA4" w:rsidR="00B15478" w:rsidRPr="0088338F" w:rsidRDefault="007830A5" w:rsidP="008C09DA">
      <w:pPr>
        <w:pStyle w:val="NormlnyArial"/>
      </w:pPr>
      <w:r w:rsidRPr="0088338F">
        <w:object w:dxaOrig="9616" w:dyaOrig="2522" w14:anchorId="25AB2986">
          <v:shape id="_x0000_i1086" type="#_x0000_t75" style="width:451.2pt;height:130.8pt" o:ole="" o:preferrelative="f">
            <v:imagedata r:id="rId152" o:title=""/>
            <o:lock v:ext="edit" aspectratio="f"/>
          </v:shape>
          <o:OLEObject Type="Embed" ProgID="Excel.Sheet.8" ShapeID="_x0000_i1086" DrawAspect="Content" ObjectID="_1551591587" r:id="rId153"/>
        </w:object>
      </w:r>
    </w:p>
    <w:p w14:paraId="03992849" w14:textId="77777777" w:rsidR="00B15478" w:rsidRPr="0088338F" w:rsidRDefault="00B15478" w:rsidP="008C09DA">
      <w:pPr>
        <w:pStyle w:val="NormlnyArial"/>
      </w:pPr>
    </w:p>
    <w:p w14:paraId="4DE54272" w14:textId="77777777" w:rsidR="00CC24B5" w:rsidRPr="0088338F" w:rsidRDefault="003F2B66" w:rsidP="002B3BCE">
      <w:pPr>
        <w:pStyle w:val="NormlnyArial"/>
        <w:numPr>
          <w:ilvl w:val="0"/>
          <w:numId w:val="8"/>
        </w:numPr>
        <w:tabs>
          <w:tab w:val="clear" w:pos="930"/>
          <w:tab w:val="left" w:pos="567"/>
        </w:tabs>
        <w:ind w:left="567" w:hanging="567"/>
        <w:rPr>
          <w:b/>
        </w:rPr>
      </w:pPr>
      <w:r w:rsidRPr="0088338F">
        <w:rPr>
          <w:b/>
        </w:rPr>
        <w:t>Menové</w:t>
      </w:r>
      <w:r w:rsidR="00CC24B5" w:rsidRPr="0088338F">
        <w:rPr>
          <w:b/>
        </w:rPr>
        <w:t xml:space="preserve"> riziko</w:t>
      </w:r>
    </w:p>
    <w:p w14:paraId="6F32F696" w14:textId="77777777" w:rsidR="00B36751" w:rsidRPr="0088338F" w:rsidRDefault="00B36751" w:rsidP="00B36751">
      <w:pPr>
        <w:pStyle w:val="NormlnyArial"/>
      </w:pPr>
    </w:p>
    <w:p w14:paraId="112ADD45" w14:textId="73B22499" w:rsidR="00CC24B5" w:rsidRPr="0088338F" w:rsidRDefault="00C668BC" w:rsidP="00CC24B5">
      <w:pPr>
        <w:pStyle w:val="BodyTextIndent2"/>
        <w:tabs>
          <w:tab w:val="left" w:pos="8280"/>
          <w:tab w:val="left" w:pos="9540"/>
        </w:tabs>
        <w:spacing w:line="240" w:lineRule="auto"/>
        <w:ind w:left="0" w:right="45"/>
        <w:rPr>
          <w:rFonts w:ascii="Arial" w:hAnsi="Arial" w:cs="Arial"/>
          <w:sz w:val="20"/>
          <w:lang w:val="sk-SK"/>
        </w:rPr>
      </w:pPr>
      <w:r w:rsidRPr="0088338F">
        <w:rPr>
          <w:rFonts w:ascii="Arial" w:hAnsi="Arial" w:cs="Arial"/>
          <w:sz w:val="20"/>
          <w:lang w:val="sk-SK"/>
        </w:rPr>
        <w:t xml:space="preserve">Menové riziko je riziko zmeny hodnoty portfólií banky v dôsledku zmeny hodnôt výmenných kurzov a otvorených nezabezpečených pozícií. Banka riadi menové riziko stanovením a denným monitorovaním maximálnych limitov otvorených pozícií bankovej knihy v jednotlivých obchodovaných menách. Prípadná nadmerná otvorená devízová pozícia bankovej knihy je okamžite odkupovaná interným obchodom do obchodnej knihy. Menové riziko obchodnej knihy je navyše limitované maximálnou rizikovou expozíciou meranou modelom VaR. </w:t>
      </w:r>
      <w:r w:rsidR="00CC24B5" w:rsidRPr="0088338F">
        <w:rPr>
          <w:rFonts w:ascii="Arial" w:hAnsi="Arial" w:cs="Arial"/>
          <w:sz w:val="20"/>
          <w:lang w:val="sk-SK"/>
        </w:rPr>
        <w:t xml:space="preserve">V nasledujúcich tabuľkách sú uvedené objemy aktív a </w:t>
      </w:r>
      <w:r w:rsidR="002A7FA6" w:rsidRPr="0088338F">
        <w:rPr>
          <w:rFonts w:ascii="Arial" w:hAnsi="Arial" w:cs="Arial"/>
          <w:sz w:val="20"/>
          <w:lang w:val="sk-SK"/>
        </w:rPr>
        <w:t>pasív</w:t>
      </w:r>
      <w:r w:rsidR="00CC24B5" w:rsidRPr="0088338F">
        <w:rPr>
          <w:rFonts w:ascii="Arial" w:hAnsi="Arial" w:cs="Arial"/>
          <w:sz w:val="20"/>
          <w:lang w:val="sk-SK"/>
        </w:rPr>
        <w:t xml:space="preserve"> podľa jednotlivých hlavných mien a z nich vyplývajúce nezabezpečené otvorené menové pozície k</w:t>
      </w:r>
      <w:r w:rsidR="004E206E" w:rsidRPr="0088338F">
        <w:rPr>
          <w:rFonts w:ascii="Arial" w:hAnsi="Arial" w:cs="Arial"/>
          <w:sz w:val="20"/>
          <w:lang w:val="sk-SK"/>
        </w:rPr>
        <w:t xml:space="preserve">u koncu </w:t>
      </w:r>
      <w:r w:rsidR="00CC24B5" w:rsidRPr="0088338F">
        <w:rPr>
          <w:rFonts w:ascii="Arial" w:hAnsi="Arial" w:cs="Arial"/>
          <w:sz w:val="20"/>
          <w:lang w:val="sk-SK"/>
        </w:rPr>
        <w:t>rokov 20</w:t>
      </w:r>
      <w:r w:rsidR="00DE3AA4" w:rsidRPr="0088338F">
        <w:rPr>
          <w:rFonts w:ascii="Arial" w:hAnsi="Arial" w:cs="Arial"/>
          <w:sz w:val="20"/>
          <w:lang w:val="sk-SK"/>
        </w:rPr>
        <w:t>1</w:t>
      </w:r>
      <w:r w:rsidR="00F758E7" w:rsidRPr="0088338F">
        <w:rPr>
          <w:rFonts w:ascii="Arial" w:hAnsi="Arial" w:cs="Arial"/>
          <w:sz w:val="20"/>
          <w:lang w:val="sk-SK"/>
        </w:rPr>
        <w:t>6</w:t>
      </w:r>
      <w:r w:rsidR="00CC24B5" w:rsidRPr="0088338F">
        <w:rPr>
          <w:rFonts w:ascii="Arial" w:hAnsi="Arial" w:cs="Arial"/>
          <w:sz w:val="20"/>
          <w:lang w:val="sk-SK"/>
        </w:rPr>
        <w:t xml:space="preserve"> a 20</w:t>
      </w:r>
      <w:r w:rsidR="001C13E8" w:rsidRPr="0088338F">
        <w:rPr>
          <w:rFonts w:ascii="Arial" w:hAnsi="Arial" w:cs="Arial"/>
          <w:sz w:val="20"/>
          <w:lang w:val="sk-SK"/>
        </w:rPr>
        <w:t>1</w:t>
      </w:r>
      <w:r w:rsidR="00F758E7" w:rsidRPr="0088338F">
        <w:rPr>
          <w:rFonts w:ascii="Arial" w:hAnsi="Arial" w:cs="Arial"/>
          <w:sz w:val="20"/>
          <w:lang w:val="sk-SK"/>
        </w:rPr>
        <w:t>5</w:t>
      </w:r>
      <w:r w:rsidR="00CC24B5" w:rsidRPr="0088338F">
        <w:rPr>
          <w:rFonts w:ascii="Arial" w:hAnsi="Arial" w:cs="Arial"/>
          <w:sz w:val="20"/>
          <w:lang w:val="sk-SK"/>
        </w:rPr>
        <w:t>.</w:t>
      </w:r>
    </w:p>
    <w:p w14:paraId="34774E73" w14:textId="77777777" w:rsidR="00004885" w:rsidRPr="0088338F" w:rsidRDefault="00004885" w:rsidP="005109FA">
      <w:pPr>
        <w:pStyle w:val="BodyTextIndent2"/>
        <w:tabs>
          <w:tab w:val="left" w:pos="8280"/>
          <w:tab w:val="left" w:pos="9540"/>
        </w:tabs>
        <w:spacing w:after="0" w:line="240" w:lineRule="auto"/>
        <w:ind w:left="0" w:right="45"/>
        <w:rPr>
          <w:rFonts w:ascii="Arial" w:hAnsi="Arial" w:cs="Arial"/>
          <w:sz w:val="20"/>
          <w:lang w:val="sk-SK"/>
        </w:rPr>
      </w:pPr>
    </w:p>
    <w:p w14:paraId="600955F6" w14:textId="4F48556B" w:rsidR="00CC24B5" w:rsidRPr="0088338F" w:rsidRDefault="00CC24B5" w:rsidP="005109FA">
      <w:pPr>
        <w:pStyle w:val="BodyTextIndent2"/>
        <w:tabs>
          <w:tab w:val="left" w:pos="8280"/>
          <w:tab w:val="left" w:pos="9540"/>
        </w:tabs>
        <w:spacing w:after="0" w:line="240" w:lineRule="auto"/>
        <w:ind w:left="0" w:right="45"/>
        <w:rPr>
          <w:rFonts w:ascii="Arial" w:hAnsi="Arial" w:cs="Arial"/>
          <w:sz w:val="20"/>
          <w:lang w:val="sk-SK"/>
        </w:rPr>
      </w:pPr>
      <w:r w:rsidRPr="0088338F">
        <w:rPr>
          <w:rFonts w:ascii="Arial" w:hAnsi="Arial" w:cs="Arial"/>
          <w:sz w:val="20"/>
          <w:lang w:val="sk-SK"/>
        </w:rPr>
        <w:t xml:space="preserve">Banka vykázala nasledovnú štruktúru </w:t>
      </w:r>
      <w:r w:rsidR="00AF33D3" w:rsidRPr="0088338F">
        <w:rPr>
          <w:rFonts w:ascii="Arial" w:hAnsi="Arial" w:cs="Arial"/>
          <w:sz w:val="20"/>
          <w:lang w:val="sk-SK"/>
        </w:rPr>
        <w:t xml:space="preserve">finančných </w:t>
      </w:r>
      <w:r w:rsidRPr="0088338F">
        <w:rPr>
          <w:rFonts w:ascii="Arial" w:hAnsi="Arial" w:cs="Arial"/>
          <w:sz w:val="20"/>
          <w:lang w:val="sk-SK"/>
        </w:rPr>
        <w:t xml:space="preserve">aktív a </w:t>
      </w:r>
      <w:r w:rsidR="00AF33D3" w:rsidRPr="0088338F">
        <w:rPr>
          <w:rFonts w:ascii="Arial" w:hAnsi="Arial" w:cs="Arial"/>
          <w:sz w:val="20"/>
          <w:lang w:val="sk-SK"/>
        </w:rPr>
        <w:t>záväzkov</w:t>
      </w:r>
      <w:r w:rsidRPr="0088338F">
        <w:rPr>
          <w:rFonts w:ascii="Arial" w:hAnsi="Arial" w:cs="Arial"/>
          <w:sz w:val="20"/>
          <w:lang w:val="sk-SK"/>
        </w:rPr>
        <w:t xml:space="preserve"> v </w:t>
      </w:r>
      <w:r w:rsidR="008E46C0" w:rsidRPr="0088338F">
        <w:rPr>
          <w:rFonts w:ascii="Arial" w:hAnsi="Arial" w:cs="Arial"/>
          <w:sz w:val="20"/>
          <w:lang w:val="sk-SK"/>
        </w:rPr>
        <w:t>jednotlivých</w:t>
      </w:r>
      <w:r w:rsidRPr="0088338F">
        <w:rPr>
          <w:rFonts w:ascii="Arial" w:hAnsi="Arial" w:cs="Arial"/>
          <w:sz w:val="20"/>
          <w:lang w:val="sk-SK"/>
        </w:rPr>
        <w:t xml:space="preserve"> men</w:t>
      </w:r>
      <w:r w:rsidR="008E46C0" w:rsidRPr="0088338F">
        <w:rPr>
          <w:rFonts w:ascii="Arial" w:hAnsi="Arial" w:cs="Arial"/>
          <w:sz w:val="20"/>
          <w:lang w:val="sk-SK"/>
        </w:rPr>
        <w:t>ách</w:t>
      </w:r>
      <w:r w:rsidR="006F7190" w:rsidRPr="0088338F">
        <w:rPr>
          <w:rFonts w:ascii="Arial" w:hAnsi="Arial" w:cs="Arial"/>
          <w:sz w:val="20"/>
          <w:lang w:val="sk-SK"/>
        </w:rPr>
        <w:t xml:space="preserve"> k 31. </w:t>
      </w:r>
      <w:r w:rsidRPr="0088338F">
        <w:rPr>
          <w:rFonts w:ascii="Arial" w:hAnsi="Arial" w:cs="Arial"/>
          <w:sz w:val="20"/>
          <w:lang w:val="sk-SK"/>
        </w:rPr>
        <w:t>decembru 20</w:t>
      </w:r>
      <w:r w:rsidR="00DE3AA4" w:rsidRPr="0088338F">
        <w:rPr>
          <w:rFonts w:ascii="Arial" w:hAnsi="Arial" w:cs="Arial"/>
          <w:sz w:val="20"/>
          <w:lang w:val="sk-SK"/>
        </w:rPr>
        <w:t>1</w:t>
      </w:r>
      <w:r w:rsidR="00F758E7" w:rsidRPr="0088338F">
        <w:rPr>
          <w:rFonts w:ascii="Arial" w:hAnsi="Arial" w:cs="Arial"/>
          <w:sz w:val="20"/>
          <w:lang w:val="sk-SK"/>
        </w:rPr>
        <w:t>6</w:t>
      </w:r>
      <w:r w:rsidRPr="0088338F">
        <w:rPr>
          <w:rFonts w:ascii="Arial" w:hAnsi="Arial" w:cs="Arial"/>
          <w:sz w:val="20"/>
          <w:lang w:val="sk-SK"/>
        </w:rPr>
        <w:t>:</w:t>
      </w:r>
    </w:p>
    <w:bookmarkStart w:id="2033" w:name="_MON_1485675161"/>
    <w:bookmarkStart w:id="2034" w:name="_MON_1485675464"/>
    <w:bookmarkStart w:id="2035" w:name="_MON_1485675728"/>
    <w:bookmarkStart w:id="2036" w:name="_MON_1485676529"/>
    <w:bookmarkStart w:id="2037" w:name="_MON_1485688872"/>
    <w:bookmarkStart w:id="2038" w:name="_MON_1485689063"/>
    <w:bookmarkStart w:id="2039" w:name="_MON_1297152275"/>
    <w:bookmarkStart w:id="2040" w:name="_MON_1297152732"/>
    <w:bookmarkStart w:id="2041" w:name="_MON_1297152759"/>
    <w:bookmarkStart w:id="2042" w:name="_MON_1297167893"/>
    <w:bookmarkStart w:id="2043" w:name="_MON_1297167903"/>
    <w:bookmarkStart w:id="2044" w:name="_MON_1297186383"/>
    <w:bookmarkStart w:id="2045" w:name="_MON_1297500813"/>
    <w:bookmarkStart w:id="2046" w:name="_MON_1298209226"/>
    <w:bookmarkStart w:id="2047" w:name="_MON_1322827124"/>
    <w:bookmarkStart w:id="2048" w:name="_MON_1322827181"/>
    <w:bookmarkStart w:id="2049" w:name="_MON_1322827188"/>
    <w:bookmarkStart w:id="2050" w:name="_MON_1328689879"/>
    <w:bookmarkStart w:id="2051" w:name="_MON_1355311313"/>
    <w:bookmarkStart w:id="2052" w:name="_MON_1359544598"/>
    <w:bookmarkStart w:id="2053" w:name="_MON_1361089090"/>
    <w:bookmarkStart w:id="2054" w:name="_MON_1361109010"/>
    <w:bookmarkStart w:id="2055" w:name="_MON_1389890671"/>
    <w:bookmarkStart w:id="2056" w:name="_MON_1390632264"/>
    <w:bookmarkStart w:id="2057" w:name="_MON_1390633508"/>
    <w:bookmarkStart w:id="2058" w:name="_MON_1390633559"/>
    <w:bookmarkStart w:id="2059" w:name="_MON_1390634470"/>
    <w:bookmarkStart w:id="2060" w:name="_MON_1391000802"/>
    <w:bookmarkStart w:id="2061" w:name="_MON_1391003542"/>
    <w:bookmarkStart w:id="2062" w:name="_MON_1391003630"/>
    <w:bookmarkStart w:id="2063" w:name="_MON_1391956362"/>
    <w:bookmarkStart w:id="2064" w:name="_MON_1422096072"/>
    <w:bookmarkStart w:id="2065" w:name="_MON_1422790674"/>
    <w:bookmarkStart w:id="2066" w:name="_MON_1453639550"/>
    <w:bookmarkStart w:id="2067" w:name="_MON_1454311502"/>
    <w:bookmarkStart w:id="2068" w:name="OLE_LINK17"/>
    <w:bookmarkStart w:id="2069" w:name="OLE_LINK18"/>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Start w:id="2070" w:name="_MON_1485674747"/>
    <w:bookmarkEnd w:id="2070"/>
    <w:p w14:paraId="6133A372" w14:textId="437BA831" w:rsidR="009976F8" w:rsidRPr="0088338F" w:rsidRDefault="00252DFF" w:rsidP="005109FA">
      <w:pPr>
        <w:tabs>
          <w:tab w:val="left" w:pos="1134"/>
          <w:tab w:val="right" w:pos="4820"/>
          <w:tab w:val="right" w:pos="6521"/>
          <w:tab w:val="right" w:pos="8222"/>
        </w:tabs>
        <w:rPr>
          <w:rFonts w:ascii="Arial" w:hAnsi="Arial" w:cs="Arial"/>
          <w:sz w:val="20"/>
        </w:rPr>
      </w:pPr>
      <w:r w:rsidRPr="0088338F">
        <w:object w:dxaOrig="10977" w:dyaOrig="4499" w14:anchorId="633F3159">
          <v:shape id="_x0000_i1087" type="#_x0000_t75" style="width:453pt;height:207.6pt" o:ole="">
            <v:imagedata r:id="rId154" o:title=""/>
          </v:shape>
          <o:OLEObject Type="Embed" ProgID="Excel.Sheet.8" ShapeID="_x0000_i1087" DrawAspect="Content" ObjectID="_1551591588" r:id="rId155"/>
        </w:object>
      </w:r>
      <w:bookmarkEnd w:id="2068"/>
      <w:bookmarkEnd w:id="2069"/>
    </w:p>
    <w:p w14:paraId="15122788" w14:textId="77777777" w:rsidR="00200890" w:rsidRPr="0088338F" w:rsidRDefault="00200890" w:rsidP="00604F30">
      <w:pPr>
        <w:pStyle w:val="NormlnyArial"/>
      </w:pPr>
    </w:p>
    <w:p w14:paraId="74833B15" w14:textId="77777777" w:rsidR="00200890" w:rsidRPr="0088338F" w:rsidRDefault="00200890" w:rsidP="00604F30">
      <w:pPr>
        <w:pStyle w:val="NormlnyArial"/>
      </w:pPr>
    </w:p>
    <w:p w14:paraId="697E9B0C" w14:textId="0217ED7C" w:rsidR="00604F30" w:rsidRPr="0088338F" w:rsidRDefault="00897D60" w:rsidP="00604F30">
      <w:pPr>
        <w:pStyle w:val="NormlnyArial"/>
      </w:pPr>
      <w:r w:rsidRPr="0088338F">
        <w:br w:type="page"/>
      </w:r>
      <w:r w:rsidR="008E46C0" w:rsidRPr="0088338F">
        <w:lastRenderedPageBreak/>
        <w:t xml:space="preserve">Banka vykázala nasledovnú štruktúru </w:t>
      </w:r>
      <w:r w:rsidR="00AF33D3" w:rsidRPr="0088338F">
        <w:t xml:space="preserve">finančných </w:t>
      </w:r>
      <w:r w:rsidR="008E46C0" w:rsidRPr="0088338F">
        <w:t xml:space="preserve">aktív a </w:t>
      </w:r>
      <w:r w:rsidR="00AF33D3" w:rsidRPr="0088338F">
        <w:t>záväzkov</w:t>
      </w:r>
      <w:r w:rsidR="006F7190" w:rsidRPr="0088338F">
        <w:t xml:space="preserve"> v jednotlivých menách k 31. </w:t>
      </w:r>
      <w:r w:rsidR="008E46C0" w:rsidRPr="0088338F">
        <w:t>decembru 20</w:t>
      </w:r>
      <w:r w:rsidR="001C13E8" w:rsidRPr="0088338F">
        <w:t>1</w:t>
      </w:r>
      <w:r w:rsidR="00F758E7" w:rsidRPr="0088338F">
        <w:t>5</w:t>
      </w:r>
      <w:r w:rsidR="00604F30" w:rsidRPr="0088338F">
        <w:t>:</w:t>
      </w:r>
    </w:p>
    <w:p w14:paraId="390F1678" w14:textId="77777777" w:rsidR="00604F30" w:rsidRPr="0088338F" w:rsidRDefault="00604F30" w:rsidP="005109FA">
      <w:pPr>
        <w:pStyle w:val="NormlnyArial"/>
      </w:pPr>
    </w:p>
    <w:p w14:paraId="12DDBDC8" w14:textId="3B45D16D" w:rsidR="00DF31F8" w:rsidRPr="0088338F" w:rsidRDefault="00F758E7" w:rsidP="00DF1C02">
      <w:pPr>
        <w:pStyle w:val="NormlnyArial"/>
      </w:pPr>
      <w:r w:rsidRPr="0088338F">
        <w:object w:dxaOrig="11006" w:dyaOrig="4995" w14:anchorId="38695099">
          <v:shape id="_x0000_i1088" type="#_x0000_t75" style="width:454.8pt;height:229.8pt" o:ole="">
            <v:imagedata r:id="rId156" o:title=""/>
          </v:shape>
          <o:OLEObject Type="Embed" ProgID="Excel.Sheet.8" ShapeID="_x0000_i1088" DrawAspect="Content" ObjectID="_1551591589" r:id="rId157"/>
        </w:object>
      </w:r>
    </w:p>
    <w:p w14:paraId="5FC6605F" w14:textId="4E476F39" w:rsidR="00DF1C02" w:rsidRPr="0088338F" w:rsidRDefault="00DF1C02" w:rsidP="00DF1C02">
      <w:pPr>
        <w:pStyle w:val="NormlnyArial"/>
      </w:pPr>
      <w:r w:rsidRPr="0088338F">
        <w:t>Dolu</w:t>
      </w:r>
      <w:r w:rsidR="001C13E8" w:rsidRPr="0088338F">
        <w:t xml:space="preserve"> </w:t>
      </w:r>
      <w:r w:rsidRPr="0088338F">
        <w:t xml:space="preserve">uvedená tabuľka znázorňuje prehľad mien, v ktorých má banka </w:t>
      </w:r>
      <w:r w:rsidR="00E851F8" w:rsidRPr="0088338F">
        <w:t>významn</w:t>
      </w:r>
      <w:r w:rsidR="002A7FA6" w:rsidRPr="0088338F">
        <w:t>ejšie</w:t>
      </w:r>
      <w:r w:rsidR="00E851F8" w:rsidRPr="0088338F">
        <w:t xml:space="preserve"> pozície otvorené k 31. </w:t>
      </w:r>
      <w:r w:rsidRPr="0088338F">
        <w:t>decembru 20</w:t>
      </w:r>
      <w:r w:rsidR="00DE3AA4" w:rsidRPr="0088338F">
        <w:t>1</w:t>
      </w:r>
      <w:r w:rsidR="00F758E7" w:rsidRPr="0088338F">
        <w:t>6</w:t>
      </w:r>
      <w:r w:rsidRPr="0088338F">
        <w:t xml:space="preserve"> a</w:t>
      </w:r>
      <w:r w:rsidR="00C17542" w:rsidRPr="0088338F">
        <w:t> </w:t>
      </w:r>
      <w:r w:rsidRPr="0088338F">
        <w:t>31</w:t>
      </w:r>
      <w:r w:rsidR="00C17542" w:rsidRPr="0088338F">
        <w:t>.</w:t>
      </w:r>
      <w:r w:rsidRPr="0088338F">
        <w:t xml:space="preserve"> decembru 20</w:t>
      </w:r>
      <w:r w:rsidR="001C13E8" w:rsidRPr="0088338F">
        <w:t>1</w:t>
      </w:r>
      <w:r w:rsidR="00F758E7" w:rsidRPr="0088338F">
        <w:t>5</w:t>
      </w:r>
      <w:r w:rsidRPr="0088338F">
        <w:t xml:space="preserve">. Analýza menovej citlivosti vypočítava mieru vplyvu možnej zmeny menového kurzu voči </w:t>
      </w:r>
      <w:r w:rsidR="007A0C5E" w:rsidRPr="0088338F">
        <w:t xml:space="preserve">vybraným menám </w:t>
      </w:r>
      <w:r w:rsidRPr="0088338F">
        <w:t xml:space="preserve">na výkaz ziskov a strát. Kladná hodnota predstavuje možný čistý zisk a negatívna hodnota predstavuje  možnú </w:t>
      </w:r>
      <w:r w:rsidR="00E851F8" w:rsidRPr="0088338F">
        <w:t>čistú stratu vo výkaze ziskov a </w:t>
      </w:r>
      <w:r w:rsidRPr="0088338F">
        <w:t>strát.</w:t>
      </w:r>
    </w:p>
    <w:p w14:paraId="586BF7A0" w14:textId="77777777" w:rsidR="00DF1C02" w:rsidRPr="0088338F" w:rsidRDefault="00DF1C02" w:rsidP="00DF1C02">
      <w:pPr>
        <w:pStyle w:val="NormlnyArial"/>
      </w:pPr>
    </w:p>
    <w:bookmarkStart w:id="2071" w:name="_MON_1422797880"/>
    <w:bookmarkStart w:id="2072" w:name="_MON_1453639633"/>
    <w:bookmarkStart w:id="2073" w:name="_MON_1453871593"/>
    <w:bookmarkStart w:id="2074" w:name="_MON_1454311692"/>
    <w:bookmarkStart w:id="2075" w:name="_MON_1297177347"/>
    <w:bookmarkStart w:id="2076" w:name="_MON_1297247371"/>
    <w:bookmarkStart w:id="2077" w:name="_MON_1297266968"/>
    <w:bookmarkStart w:id="2078" w:name="_MON_1322827273"/>
    <w:bookmarkStart w:id="2079" w:name="_MON_1328690009"/>
    <w:bookmarkStart w:id="2080" w:name="_MON_1355311366"/>
    <w:bookmarkStart w:id="2081" w:name="_MON_1359544682"/>
    <w:bookmarkStart w:id="2082" w:name="_MON_1389890720"/>
    <w:bookmarkStart w:id="2083" w:name="_MON_1389890774"/>
    <w:bookmarkStart w:id="2084" w:name="_MON_1391001529"/>
    <w:bookmarkStart w:id="2085" w:name="_MON_1391956406"/>
    <w:bookmarkStart w:id="2086" w:name="_MON_1422096195"/>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Start w:id="2087" w:name="_MON_1422335088"/>
    <w:bookmarkEnd w:id="2087"/>
    <w:p w14:paraId="41078A2B" w14:textId="6350DB76" w:rsidR="00DF1C02" w:rsidRPr="0088338F" w:rsidRDefault="00083588" w:rsidP="00DF1C02">
      <w:pPr>
        <w:pStyle w:val="NormlnyArial"/>
      </w:pPr>
      <w:r w:rsidRPr="0088338F">
        <w:object w:dxaOrig="9590" w:dyaOrig="3510" w14:anchorId="7EF5C2BE">
          <v:shape id="_x0000_i1089" type="#_x0000_t75" style="width:450pt;height:180.6pt" o:ole="" o:preferrelative="f">
            <v:imagedata r:id="rId158" o:title=""/>
            <o:lock v:ext="edit" aspectratio="f"/>
          </v:shape>
          <o:OLEObject Type="Embed" ProgID="Excel.Sheet.8" ShapeID="_x0000_i1089" DrawAspect="Content" ObjectID="_1551591590" r:id="rId159"/>
        </w:object>
      </w:r>
    </w:p>
    <w:p w14:paraId="594C73AE" w14:textId="77777777" w:rsidR="00DF1C02" w:rsidRPr="0088338F" w:rsidRDefault="00DF1C02" w:rsidP="00DF1C02">
      <w:pPr>
        <w:pStyle w:val="NormlnyArial"/>
      </w:pPr>
    </w:p>
    <w:p w14:paraId="64FEAECE" w14:textId="77777777" w:rsidR="00DF1C02" w:rsidRPr="0088338F" w:rsidRDefault="00DF1C02" w:rsidP="00DF1C02">
      <w:pPr>
        <w:pStyle w:val="NormlnyArial"/>
      </w:pPr>
      <w:r w:rsidRPr="0088338F">
        <w:t>Zmena menových kurzov nemá iný vplyv na vlastný kapitál, okrem vplyvu na výkaz ziskov a strát.</w:t>
      </w:r>
    </w:p>
    <w:p w14:paraId="1984F173" w14:textId="77777777" w:rsidR="00DF1C02" w:rsidRPr="0088338F" w:rsidRDefault="00DF1C02" w:rsidP="00B36751">
      <w:pPr>
        <w:pStyle w:val="NormlnyArial"/>
      </w:pPr>
    </w:p>
    <w:p w14:paraId="1C2F8FBD" w14:textId="77777777" w:rsidR="00380F08" w:rsidRPr="0088338F" w:rsidRDefault="00380F08" w:rsidP="00B36751">
      <w:pPr>
        <w:pStyle w:val="NormlnyArial"/>
      </w:pPr>
    </w:p>
    <w:p w14:paraId="67A9F9A9" w14:textId="77777777" w:rsidR="00A34CF6" w:rsidRPr="0088338F" w:rsidRDefault="001550D8"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riadenie kapitálu</w:t>
      </w:r>
    </w:p>
    <w:p w14:paraId="7EDBA47A" w14:textId="77777777" w:rsidR="00E81A40" w:rsidRPr="0088338F" w:rsidRDefault="00E81A40" w:rsidP="00646403">
      <w:pPr>
        <w:pStyle w:val="NormlnyArial"/>
      </w:pPr>
    </w:p>
    <w:p w14:paraId="4B41E597" w14:textId="23F59FFB" w:rsidR="005F5CEA" w:rsidRPr="0088338F" w:rsidRDefault="00356D6E" w:rsidP="005F5CEA">
      <w:pPr>
        <w:jc w:val="both"/>
        <w:rPr>
          <w:rFonts w:ascii="Arial" w:hAnsi="Arial" w:cs="Arial"/>
          <w:sz w:val="20"/>
          <w:szCs w:val="20"/>
        </w:rPr>
      </w:pPr>
      <w:r w:rsidRPr="0088338F">
        <w:rPr>
          <w:rFonts w:ascii="Arial" w:hAnsi="Arial" w:cs="Arial"/>
          <w:sz w:val="20"/>
          <w:szCs w:val="20"/>
        </w:rPr>
        <w:t>Vlastné zdroje banky slúžia na krytie neočakávaných strát, ktorým môže byť banka vystavená pri svojej činnosti. Výška vlastných zdrojov, hodnoty rizikovo vážených expozícií a požiadavky na vlastné zdroje sú pravidelne monitorované, okrem iného za použitia a dodržania pravidiel obozretného podnikania stanovených na európskej a národnej úrovni. Banka dodržiavala a dodržiava stanovenú výšku požiadaviek na vlastné zdroje, ako aj všetky ďalšie kapitálové požiadavky.</w:t>
      </w:r>
    </w:p>
    <w:p w14:paraId="13A1FBAA" w14:textId="77777777" w:rsidR="00356D6E" w:rsidRPr="0088338F" w:rsidRDefault="00BC74FC" w:rsidP="00356D6E">
      <w:pPr>
        <w:jc w:val="both"/>
        <w:rPr>
          <w:rFonts w:ascii="Arial" w:hAnsi="Arial" w:cs="Arial"/>
          <w:sz w:val="20"/>
          <w:szCs w:val="20"/>
        </w:rPr>
      </w:pPr>
      <w:r w:rsidRPr="0088338F">
        <w:rPr>
          <w:rFonts w:ascii="Arial" w:hAnsi="Arial" w:cs="Arial"/>
          <w:sz w:val="20"/>
          <w:szCs w:val="20"/>
        </w:rPr>
        <w:br w:type="page"/>
      </w:r>
      <w:r w:rsidR="00356D6E" w:rsidRPr="0088338F">
        <w:rPr>
          <w:rFonts w:ascii="Arial" w:hAnsi="Arial" w:cs="Arial"/>
          <w:sz w:val="20"/>
          <w:szCs w:val="20"/>
        </w:rPr>
        <w:lastRenderedPageBreak/>
        <w:t xml:space="preserve">Podľa pravidiel obozretného podnikania slúžia vlastné zdroje na krytie rizík bankovej knihy, obchodnej knihy, na krytie iných rizík (napr. devízového, komoditného rizika) a na krytie operačného rizika. </w:t>
      </w:r>
    </w:p>
    <w:p w14:paraId="0A27A261" w14:textId="77777777" w:rsidR="00356D6E" w:rsidRPr="0088338F" w:rsidRDefault="00356D6E" w:rsidP="00356D6E">
      <w:pPr>
        <w:jc w:val="both"/>
        <w:rPr>
          <w:rFonts w:ascii="Arial" w:hAnsi="Arial" w:cs="Arial"/>
          <w:sz w:val="20"/>
          <w:szCs w:val="20"/>
        </w:rPr>
      </w:pPr>
    </w:p>
    <w:p w14:paraId="4840776F" w14:textId="77777777" w:rsidR="00356D6E" w:rsidRPr="0088338F" w:rsidRDefault="00356D6E" w:rsidP="00356D6E">
      <w:pPr>
        <w:jc w:val="both"/>
        <w:rPr>
          <w:rFonts w:ascii="Arial" w:hAnsi="Arial" w:cs="Arial"/>
          <w:sz w:val="20"/>
          <w:szCs w:val="20"/>
        </w:rPr>
      </w:pPr>
      <w:r w:rsidRPr="0088338F">
        <w:rPr>
          <w:rFonts w:ascii="Arial" w:hAnsi="Arial" w:cs="Arial"/>
          <w:sz w:val="20"/>
          <w:szCs w:val="20"/>
        </w:rPr>
        <w:t>Základnou požiadavkou na proces riadenia vlastných zdrojov je zabezpečenie toho, aby banka splnila požiadavky stanovené platnou legislatívou za súčasného dodržania efektívnej výšky primeranosti vlastných zdrojov. Banka riadi štruktúru vlastných zdrojov a môže aplikovať zmeny v štruktúre vlastných zdrojov v prípade zmeny ekonomických podmienok alebo zmeny rizikového apetítu banky. Banka môže ovplyvniť vlastné zdroje najmä na základe rozhodnutí o rozdelení zisku účtovného obdobia, prípadne na základe rozhodnutí o emisii podriadeného dlhu alebo na základe iných rozhodnutí o navýšení vlastného imania (napr. zvýšenie základného imania). V politike riadenia štruktúry vlastných zdrojov oproti predchádzajúcemu obdobiu nenastali žiadne zmeny.</w:t>
      </w:r>
    </w:p>
    <w:p w14:paraId="2D8D22B4" w14:textId="77777777" w:rsidR="00356D6E" w:rsidRPr="0088338F" w:rsidRDefault="00356D6E" w:rsidP="00356D6E">
      <w:pPr>
        <w:jc w:val="both"/>
        <w:rPr>
          <w:rFonts w:ascii="Arial" w:hAnsi="Arial" w:cs="Arial"/>
          <w:sz w:val="20"/>
          <w:szCs w:val="20"/>
        </w:rPr>
      </w:pPr>
    </w:p>
    <w:p w14:paraId="6C32AC85" w14:textId="77777777" w:rsidR="00356D6E" w:rsidRPr="0088338F" w:rsidRDefault="00356D6E" w:rsidP="00356D6E">
      <w:pPr>
        <w:jc w:val="both"/>
        <w:rPr>
          <w:rFonts w:ascii="Arial" w:hAnsi="Arial" w:cs="Arial"/>
          <w:sz w:val="20"/>
          <w:szCs w:val="20"/>
        </w:rPr>
      </w:pPr>
      <w:r w:rsidRPr="0088338F">
        <w:rPr>
          <w:rFonts w:ascii="Arial" w:hAnsi="Arial" w:cs="Arial"/>
          <w:sz w:val="20"/>
          <w:szCs w:val="20"/>
        </w:rPr>
        <w:t>Banka používa taktiež riadenie vnútorného kapitálu a hodnotí a vypočítava požiadavky na vnútorný kapitál v rámci procesu ICAAP. Vnútorný kapitál musí pokryť nielen zákonné požiadavky na jednotlivé druhy regulatórnych rizík, ale aj požiadavky na riziká nepokryté Pilierom 1, ktoré sú stanovené bankou na základe posúdenia jej rizikového profilu a rizikového apetítu. Banka dodržiavala a dodržiava regulátorom trhu vyžadované požiadavky na vnútorný kapitál.</w:t>
      </w:r>
    </w:p>
    <w:p w14:paraId="1A792776" w14:textId="77777777" w:rsidR="00356D6E" w:rsidRPr="0088338F" w:rsidRDefault="00356D6E" w:rsidP="00356D6E">
      <w:pPr>
        <w:jc w:val="both"/>
        <w:rPr>
          <w:rFonts w:ascii="Arial" w:hAnsi="Arial" w:cs="Arial"/>
          <w:sz w:val="20"/>
          <w:szCs w:val="20"/>
        </w:rPr>
      </w:pPr>
    </w:p>
    <w:p w14:paraId="0CCD5A19" w14:textId="6F116A4B" w:rsidR="005F5CEA" w:rsidRPr="0088338F" w:rsidRDefault="00356D6E" w:rsidP="00356D6E">
      <w:pPr>
        <w:jc w:val="both"/>
        <w:rPr>
          <w:rFonts w:ascii="Arial" w:hAnsi="Arial" w:cs="Arial"/>
          <w:sz w:val="20"/>
          <w:szCs w:val="20"/>
        </w:rPr>
      </w:pPr>
      <w:r w:rsidRPr="0088338F">
        <w:rPr>
          <w:rFonts w:ascii="Arial" w:hAnsi="Arial" w:cs="Arial"/>
          <w:sz w:val="20"/>
          <w:szCs w:val="20"/>
        </w:rPr>
        <w:t>Vlastné zdroje banky tvoria kapitál Tier 1 a kapitál Tier 2. Kapitál Tier 1 banky tvoria základné imanie, rezervný fond, nerozdelený zisk z minulých rokov, akumulovaný iný komplexný účtovný výsledok a nehmotné aktíva (ako znižujúca položka). Kapitál Tier 2 banka nemá.</w:t>
      </w:r>
    </w:p>
    <w:p w14:paraId="3D06223C" w14:textId="77777777" w:rsidR="005F5CEA" w:rsidRPr="0088338F" w:rsidRDefault="005F5CEA" w:rsidP="005F5CEA">
      <w:pPr>
        <w:jc w:val="both"/>
        <w:rPr>
          <w:rFonts w:ascii="Arial" w:hAnsi="Arial" w:cs="Arial"/>
          <w:sz w:val="20"/>
          <w:szCs w:val="20"/>
        </w:rPr>
      </w:pPr>
    </w:p>
    <w:p w14:paraId="2F5C37A2" w14:textId="7957B8A5" w:rsidR="005F5CEA" w:rsidRPr="0088338F" w:rsidRDefault="00B90B58" w:rsidP="005F5CEA">
      <w:pPr>
        <w:pStyle w:val="NormlnyArial"/>
      </w:pPr>
      <w:r w:rsidRPr="0088338F">
        <w:t>V</w:t>
      </w:r>
      <w:r w:rsidR="005F5CEA" w:rsidRPr="0088338F">
        <w:t>ýšk</w:t>
      </w:r>
      <w:r w:rsidRPr="0088338F">
        <w:t>a</w:t>
      </w:r>
      <w:r w:rsidR="005F5CEA" w:rsidRPr="0088338F">
        <w:t xml:space="preserve"> vlastných zdrojov k 31.</w:t>
      </w:r>
      <w:r w:rsidR="00B03B1F" w:rsidRPr="0088338F">
        <w:t xml:space="preserve"> decembru </w:t>
      </w:r>
      <w:r w:rsidR="005F5CEA" w:rsidRPr="0088338F">
        <w:t>201</w:t>
      </w:r>
      <w:r w:rsidR="00B13C22" w:rsidRPr="0088338F">
        <w:t>6</w:t>
      </w:r>
      <w:r w:rsidR="005F5CEA" w:rsidRPr="0088338F">
        <w:t xml:space="preserve"> a k 31.</w:t>
      </w:r>
      <w:r w:rsidR="00B03B1F" w:rsidRPr="0088338F">
        <w:t xml:space="preserve"> decembru </w:t>
      </w:r>
      <w:r w:rsidR="005F5CEA" w:rsidRPr="0088338F">
        <w:t>201</w:t>
      </w:r>
      <w:r w:rsidR="00B13C22" w:rsidRPr="0088338F">
        <w:t>5</w:t>
      </w:r>
      <w:r w:rsidRPr="0088338F">
        <w:t xml:space="preserve"> je nasledovná:</w:t>
      </w:r>
    </w:p>
    <w:bookmarkStart w:id="2088" w:name="_MON_1466938081"/>
    <w:bookmarkStart w:id="2089" w:name="_MON_1474442203"/>
    <w:bookmarkStart w:id="2090" w:name="_MON_1482645356"/>
    <w:bookmarkStart w:id="2091" w:name="_MON_1482646193"/>
    <w:bookmarkStart w:id="2092" w:name="_MON_1485591068"/>
    <w:bookmarkStart w:id="2093" w:name="_MON_1485591152"/>
    <w:bookmarkStart w:id="2094" w:name="_MON_1456744033"/>
    <w:bookmarkStart w:id="2095" w:name="_MON_1458631598"/>
    <w:bookmarkStart w:id="2096" w:name="_MON_1461478604"/>
    <w:bookmarkStart w:id="2097" w:name="_MON_1466936247"/>
    <w:bookmarkStart w:id="2098" w:name="_MON_1466937854"/>
    <w:bookmarkEnd w:id="2088"/>
    <w:bookmarkEnd w:id="2089"/>
    <w:bookmarkEnd w:id="2090"/>
    <w:bookmarkEnd w:id="2091"/>
    <w:bookmarkEnd w:id="2092"/>
    <w:bookmarkEnd w:id="2093"/>
    <w:bookmarkEnd w:id="2094"/>
    <w:bookmarkEnd w:id="2095"/>
    <w:bookmarkEnd w:id="2096"/>
    <w:bookmarkEnd w:id="2097"/>
    <w:bookmarkEnd w:id="2098"/>
    <w:bookmarkStart w:id="2099" w:name="_MON_1466937861"/>
    <w:bookmarkEnd w:id="2099"/>
    <w:p w14:paraId="437AF41C" w14:textId="19497878" w:rsidR="00A73608" w:rsidRPr="0088338F" w:rsidRDefault="00943295" w:rsidP="007A0C5E">
      <w:pPr>
        <w:pStyle w:val="NormlnyArial"/>
      </w:pPr>
      <w:r w:rsidRPr="0088338F">
        <w:object w:dxaOrig="9841" w:dyaOrig="3263" w14:anchorId="16460D7D">
          <v:shape id="_x0000_i1090" type="#_x0000_t75" style="width:447.6pt;height:174pt" o:ole="" o:preferrelative="f">
            <v:imagedata r:id="rId160" o:title=""/>
            <o:lock v:ext="edit" aspectratio="f"/>
          </v:shape>
          <o:OLEObject Type="Embed" ProgID="Excel.Sheet.8" ShapeID="_x0000_i1090" DrawAspect="Content" ObjectID="_1551591591" r:id="rId161"/>
        </w:object>
      </w:r>
    </w:p>
    <w:p w14:paraId="5EF39C14" w14:textId="77777777" w:rsidR="00A73608" w:rsidRPr="0088338F" w:rsidRDefault="00A73608" w:rsidP="007A0C5E">
      <w:pPr>
        <w:pStyle w:val="NormlnyArial"/>
      </w:pPr>
    </w:p>
    <w:p w14:paraId="42B7972A" w14:textId="4B0449B9" w:rsidR="0085092D" w:rsidRPr="0088338F" w:rsidRDefault="00F51246" w:rsidP="0085092D">
      <w:pPr>
        <w:pStyle w:val="NormlnyArial"/>
      </w:pPr>
      <w:r w:rsidRPr="0088338F">
        <w:br w:type="page"/>
      </w:r>
      <w:r w:rsidR="0085092D" w:rsidRPr="0088338F">
        <w:lastRenderedPageBreak/>
        <w:t>Ukazovatele kapitálovej primeranosti banky k 31.</w:t>
      </w:r>
      <w:r w:rsidR="001766D6" w:rsidRPr="0088338F">
        <w:t xml:space="preserve"> decembru </w:t>
      </w:r>
      <w:r w:rsidR="0085092D" w:rsidRPr="0088338F">
        <w:t>201</w:t>
      </w:r>
      <w:r w:rsidR="00391FF9" w:rsidRPr="0088338F">
        <w:t>6</w:t>
      </w:r>
      <w:r w:rsidR="0085092D" w:rsidRPr="0088338F">
        <w:t xml:space="preserve"> a k 31.</w:t>
      </w:r>
      <w:r w:rsidR="001766D6" w:rsidRPr="0088338F">
        <w:t xml:space="preserve"> decembru </w:t>
      </w:r>
      <w:r w:rsidR="0085092D" w:rsidRPr="0088338F">
        <w:t>201</w:t>
      </w:r>
      <w:r w:rsidR="00391FF9" w:rsidRPr="0088338F">
        <w:t>5</w:t>
      </w:r>
      <w:r w:rsidR="0085092D" w:rsidRPr="0088338F">
        <w:t xml:space="preserve"> sú uvedené v nasledujúcej tabuľke:</w:t>
      </w:r>
    </w:p>
    <w:bookmarkStart w:id="2100" w:name="_MON_1427277728"/>
    <w:bookmarkStart w:id="2101" w:name="_MON_1430823285"/>
    <w:bookmarkStart w:id="2102" w:name="_MON_1435388429"/>
    <w:bookmarkStart w:id="2103" w:name="_MON_1435389708"/>
    <w:bookmarkStart w:id="2104" w:name="_MON_1441025755"/>
    <w:bookmarkStart w:id="2105" w:name="_MON_1443007706"/>
    <w:bookmarkStart w:id="2106" w:name="_MON_1443333782"/>
    <w:bookmarkStart w:id="2107" w:name="_MON_1446468242"/>
    <w:bookmarkStart w:id="2108" w:name="_MON_1451282579"/>
    <w:bookmarkStart w:id="2109" w:name="_MON_1453640050"/>
    <w:bookmarkStart w:id="2110" w:name="_MON_1453871690"/>
    <w:bookmarkStart w:id="2111" w:name="_MON_1485156201"/>
    <w:bookmarkStart w:id="2112" w:name="_MON_1485595146"/>
    <w:bookmarkStart w:id="2113" w:name="_MON_1485595536"/>
    <w:bookmarkStart w:id="2114" w:name="_MON_1485595670"/>
    <w:bookmarkStart w:id="2115" w:name="_MON_1486885840"/>
    <w:bookmarkStart w:id="2116" w:name="_MON_1486885995"/>
    <w:bookmarkStart w:id="2117" w:name="_MON_1297661250"/>
    <w:bookmarkStart w:id="2118" w:name="_MON_1297662005"/>
    <w:bookmarkStart w:id="2119" w:name="_MON_1297662071"/>
    <w:bookmarkStart w:id="2120" w:name="_MON_1297662078"/>
    <w:bookmarkStart w:id="2121" w:name="_MON_1297662158"/>
    <w:bookmarkStart w:id="2122" w:name="_MON_1297662454"/>
    <w:bookmarkStart w:id="2123" w:name="_MON_1298292713"/>
    <w:bookmarkStart w:id="2124" w:name="_MON_1298355281"/>
    <w:bookmarkStart w:id="2125" w:name="_MON_1322829184"/>
    <w:bookmarkStart w:id="2126" w:name="_MON_1322829399"/>
    <w:bookmarkStart w:id="2127" w:name="_MON_1328690166"/>
    <w:bookmarkStart w:id="2128" w:name="_MON_1355311623"/>
    <w:bookmarkStart w:id="2129" w:name="_MON_1359544763"/>
    <w:bookmarkStart w:id="2130" w:name="_MON_1364038555"/>
    <w:bookmarkStart w:id="2131" w:name="_MON_1364392407"/>
    <w:bookmarkStart w:id="2132" w:name="_MON_1372082795"/>
    <w:bookmarkStart w:id="2133" w:name="_MON_1372251105"/>
    <w:bookmarkStart w:id="2134" w:name="_MON_1380185510"/>
    <w:bookmarkStart w:id="2135" w:name="_MON_1380185548"/>
    <w:bookmarkStart w:id="2136" w:name="_MON_1388242922"/>
    <w:bookmarkStart w:id="2137" w:name="_MON_1395046056"/>
    <w:bookmarkStart w:id="2138" w:name="_MON_1395046100"/>
    <w:bookmarkStart w:id="2139" w:name="_MON_1395909828"/>
    <w:bookmarkStart w:id="2140" w:name="_MON_1396089329"/>
    <w:bookmarkStart w:id="2141" w:name="_MON_1424765924"/>
    <w:bookmarkStart w:id="2142" w:name="_MON_1425192410"/>
    <w:bookmarkStart w:id="2143" w:name="_MON_1427277632"/>
    <w:bookmarkStart w:id="2144" w:name="_MON_1427277704"/>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Start w:id="2145" w:name="_MON_1427277716"/>
    <w:bookmarkEnd w:id="2145"/>
    <w:p w14:paraId="5B9FADB9" w14:textId="6555575D" w:rsidR="0085092D" w:rsidRPr="0088338F" w:rsidRDefault="002F5167" w:rsidP="0085092D">
      <w:pPr>
        <w:pStyle w:val="NormlnyArial"/>
      </w:pPr>
      <w:r w:rsidRPr="0088338F">
        <w:object w:dxaOrig="9916" w:dyaOrig="2769" w14:anchorId="4C77329A">
          <v:shape id="_x0000_i1091" type="#_x0000_t75" style="width:463.8pt;height:143.4pt" o:ole="" o:preferrelative="f">
            <v:imagedata r:id="rId162" o:title=""/>
            <o:lock v:ext="edit" aspectratio="f"/>
          </v:shape>
          <o:OLEObject Type="Embed" ProgID="Excel.Sheet.8" ShapeID="_x0000_i1091" DrawAspect="Content" ObjectID="_1551591592" r:id="rId163"/>
        </w:object>
      </w:r>
    </w:p>
    <w:p w14:paraId="497041AF" w14:textId="3100A06A" w:rsidR="00FB45D0" w:rsidRPr="0088338F" w:rsidRDefault="00FB45D0" w:rsidP="00FB45D0">
      <w:pPr>
        <w:pStyle w:val="NormlnyArial"/>
      </w:pPr>
      <w:r w:rsidRPr="0088338F">
        <w:t>Národná banka Slovenska ako dohliadací orgán vyžaduje, aby banka udržiavala pomer vlastných zdrojov k celkovej hodnote rizikovej expozície minimálne na úrovni 8</w:t>
      </w:r>
      <w:r w:rsidR="00AF2CE5" w:rsidRPr="0088338F">
        <w:t xml:space="preserve"> </w:t>
      </w:r>
      <w:r w:rsidRPr="0088338F">
        <w:t>%. K 31.</w:t>
      </w:r>
      <w:r w:rsidR="00AF2CE5" w:rsidRPr="0088338F">
        <w:t xml:space="preserve"> decembru </w:t>
      </w:r>
      <w:r w:rsidRPr="0088338F">
        <w:t>2016 je v platnosti vankúš na zachovanie kapitálu vo výške 2,5</w:t>
      </w:r>
      <w:r w:rsidR="00AF2CE5" w:rsidRPr="0088338F">
        <w:t xml:space="preserve"> </w:t>
      </w:r>
      <w:r w:rsidRPr="0088338F">
        <w:t>% a banka uplatňuje na vybrané expozície taktiež proticyklický vankúš. Celkový kombinovaný vankúš banky je vo výške 2,5</w:t>
      </w:r>
      <w:r w:rsidR="00E94A00" w:rsidRPr="0088338F">
        <w:t>3</w:t>
      </w:r>
      <w:r w:rsidR="00AF2CE5" w:rsidRPr="0088338F">
        <w:t xml:space="preserve"> </w:t>
      </w:r>
      <w:r w:rsidRPr="0088338F">
        <w:t>%, t.j. celkový pomer vlastných zdrojov k celkovej hodnote rizikovej expozície musí banka k 31.</w:t>
      </w:r>
      <w:r w:rsidR="00AF2CE5" w:rsidRPr="0088338F">
        <w:t xml:space="preserve"> decembru </w:t>
      </w:r>
      <w:r w:rsidRPr="0088338F">
        <w:t>2016 udržiavať minimálne na úrovni 10,5</w:t>
      </w:r>
      <w:r w:rsidR="00E94A00" w:rsidRPr="0088338F">
        <w:t>3</w:t>
      </w:r>
      <w:r w:rsidR="00AF2CE5" w:rsidRPr="0088338F">
        <w:t xml:space="preserve"> </w:t>
      </w:r>
      <w:r w:rsidRPr="0088338F">
        <w:t>%.</w:t>
      </w:r>
    </w:p>
    <w:p w14:paraId="4FE425CA" w14:textId="77777777" w:rsidR="00FB45D0" w:rsidRPr="0088338F" w:rsidRDefault="00FB45D0" w:rsidP="00FB45D0">
      <w:pPr>
        <w:pStyle w:val="NormlnyArial"/>
      </w:pPr>
    </w:p>
    <w:p w14:paraId="5574DD1B" w14:textId="7294C205" w:rsidR="0085092D" w:rsidRPr="0088338F" w:rsidRDefault="00FB45D0" w:rsidP="00FB45D0">
      <w:pPr>
        <w:pStyle w:val="NormlnyArial"/>
      </w:pPr>
      <w:r w:rsidRPr="0088338F">
        <w:t>Vo vykazovaných obdobiach vlastné zdroje banky prevyšovali minimálnu požadovanú úroveň z hodnoty rizikovej expozície, čím banka splnila kapitálovú požiadavku regulátora.</w:t>
      </w:r>
    </w:p>
    <w:p w14:paraId="7F533816" w14:textId="77777777" w:rsidR="00715F36" w:rsidRPr="0088338F" w:rsidRDefault="00715F36" w:rsidP="005C6B6E">
      <w:pPr>
        <w:pStyle w:val="NormlnyArial"/>
      </w:pPr>
    </w:p>
    <w:p w14:paraId="369B97AF" w14:textId="77777777" w:rsidR="00A73608" w:rsidRPr="0088338F" w:rsidRDefault="00A73608" w:rsidP="00646403">
      <w:pPr>
        <w:pStyle w:val="NormlnyArial"/>
      </w:pPr>
    </w:p>
    <w:p w14:paraId="05EC2EB8" w14:textId="4D6D9E43" w:rsidR="00646403" w:rsidRPr="0088338F" w:rsidRDefault="00EC5EFF"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Splatno</w:t>
      </w:r>
      <w:r w:rsidR="00456B67" w:rsidRPr="0088338F">
        <w:rPr>
          <w:rFonts w:ascii="Arial" w:hAnsi="Arial" w:cs="Arial"/>
          <w:b/>
          <w:caps/>
          <w:sz w:val="20"/>
          <w:szCs w:val="20"/>
        </w:rPr>
        <w:t>S</w:t>
      </w:r>
      <w:r w:rsidRPr="0088338F">
        <w:rPr>
          <w:rFonts w:ascii="Arial" w:hAnsi="Arial" w:cs="Arial"/>
          <w:b/>
          <w:caps/>
          <w:sz w:val="20"/>
          <w:szCs w:val="20"/>
        </w:rPr>
        <w:t>ť aktív a záväzkov</w:t>
      </w:r>
    </w:p>
    <w:p w14:paraId="50C8FAE5" w14:textId="77777777" w:rsidR="00646403" w:rsidRPr="0088338F" w:rsidRDefault="00646403" w:rsidP="00646403">
      <w:pPr>
        <w:pStyle w:val="NormlnyArial"/>
        <w:rPr>
          <w:sz w:val="16"/>
          <w:szCs w:val="16"/>
        </w:rPr>
      </w:pPr>
    </w:p>
    <w:p w14:paraId="494E09EB" w14:textId="1A2751F4" w:rsidR="00646403" w:rsidRPr="0088338F" w:rsidRDefault="000B3609" w:rsidP="00646403">
      <w:pPr>
        <w:tabs>
          <w:tab w:val="left" w:pos="340"/>
          <w:tab w:val="left" w:pos="1134"/>
          <w:tab w:val="right" w:pos="4820"/>
          <w:tab w:val="right" w:pos="6521"/>
          <w:tab w:val="right" w:pos="8222"/>
        </w:tabs>
        <w:jc w:val="both"/>
        <w:rPr>
          <w:rFonts w:ascii="Arial" w:hAnsi="Arial" w:cs="Arial"/>
          <w:sz w:val="20"/>
        </w:rPr>
      </w:pPr>
      <w:r w:rsidRPr="0088338F">
        <w:rPr>
          <w:rFonts w:ascii="Arial" w:hAnsi="Arial" w:cs="Arial"/>
          <w:sz w:val="20"/>
        </w:rPr>
        <w:t xml:space="preserve">Nasledujúca tabuľka zobrazuje štruktúru </w:t>
      </w:r>
      <w:r w:rsidR="006764E2" w:rsidRPr="0088338F">
        <w:rPr>
          <w:rFonts w:ascii="Arial" w:hAnsi="Arial" w:cs="Arial"/>
          <w:sz w:val="20"/>
        </w:rPr>
        <w:t>pohľadávok</w:t>
      </w:r>
      <w:r w:rsidRPr="0088338F">
        <w:rPr>
          <w:rFonts w:ascii="Arial" w:hAnsi="Arial" w:cs="Arial"/>
          <w:sz w:val="20"/>
        </w:rPr>
        <w:t xml:space="preserve"> a záväzkov banky z </w:t>
      </w:r>
      <w:r w:rsidR="006764E2" w:rsidRPr="0088338F">
        <w:rPr>
          <w:rFonts w:ascii="Arial" w:hAnsi="Arial" w:cs="Arial"/>
          <w:sz w:val="20"/>
        </w:rPr>
        <w:t>hľadiska ich splatnosti k</w:t>
      </w:r>
      <w:r w:rsidR="009429C0" w:rsidRPr="0088338F">
        <w:rPr>
          <w:rFonts w:ascii="Arial" w:hAnsi="Arial" w:cs="Arial"/>
          <w:sz w:val="20"/>
        </w:rPr>
        <w:t> </w:t>
      </w:r>
      <w:r w:rsidRPr="0088338F">
        <w:rPr>
          <w:rFonts w:ascii="Arial" w:hAnsi="Arial" w:cs="Arial"/>
          <w:sz w:val="20"/>
        </w:rPr>
        <w:t>31</w:t>
      </w:r>
      <w:r w:rsidR="004F674D" w:rsidRPr="0088338F">
        <w:rPr>
          <w:rFonts w:ascii="Arial" w:hAnsi="Arial" w:cs="Arial"/>
          <w:sz w:val="20"/>
        </w:rPr>
        <w:t>.</w:t>
      </w:r>
      <w:r w:rsidR="009429C0" w:rsidRPr="0088338F">
        <w:rPr>
          <w:rFonts w:ascii="Arial" w:hAnsi="Arial" w:cs="Arial"/>
          <w:sz w:val="20"/>
        </w:rPr>
        <w:t> </w:t>
      </w:r>
      <w:r w:rsidR="00456B67" w:rsidRPr="0088338F">
        <w:rPr>
          <w:rFonts w:ascii="Arial" w:hAnsi="Arial" w:cs="Arial"/>
          <w:sz w:val="20"/>
        </w:rPr>
        <w:t>decembr</w:t>
      </w:r>
      <w:r w:rsidR="006764E2" w:rsidRPr="0088338F">
        <w:rPr>
          <w:rFonts w:ascii="Arial" w:hAnsi="Arial" w:cs="Arial"/>
          <w:sz w:val="20"/>
        </w:rPr>
        <w:t>u</w:t>
      </w:r>
      <w:r w:rsidR="00456B67" w:rsidRPr="0088338F">
        <w:rPr>
          <w:rFonts w:ascii="Arial" w:hAnsi="Arial" w:cs="Arial"/>
          <w:sz w:val="20"/>
        </w:rPr>
        <w:t xml:space="preserve"> </w:t>
      </w:r>
      <w:r w:rsidRPr="0088338F">
        <w:rPr>
          <w:rFonts w:ascii="Arial" w:hAnsi="Arial" w:cs="Arial"/>
          <w:sz w:val="20"/>
        </w:rPr>
        <w:t>20</w:t>
      </w:r>
      <w:r w:rsidR="00F24CDF" w:rsidRPr="0088338F">
        <w:rPr>
          <w:rFonts w:ascii="Arial" w:hAnsi="Arial" w:cs="Arial"/>
          <w:sz w:val="20"/>
        </w:rPr>
        <w:t>1</w:t>
      </w:r>
      <w:r w:rsidR="00391FF9" w:rsidRPr="0088338F">
        <w:rPr>
          <w:rFonts w:ascii="Arial" w:hAnsi="Arial" w:cs="Arial"/>
          <w:sz w:val="20"/>
        </w:rPr>
        <w:t>6</w:t>
      </w:r>
      <w:r w:rsidR="00646403" w:rsidRPr="0088338F">
        <w:rPr>
          <w:rFonts w:ascii="Arial" w:hAnsi="Arial" w:cs="Arial"/>
          <w:sz w:val="20"/>
        </w:rPr>
        <w:t>:</w:t>
      </w:r>
    </w:p>
    <w:p w14:paraId="51DF5755" w14:textId="77777777" w:rsidR="006F3461" w:rsidRPr="0088338F" w:rsidRDefault="006F3461" w:rsidP="00646403">
      <w:pPr>
        <w:tabs>
          <w:tab w:val="left" w:pos="340"/>
          <w:tab w:val="left" w:pos="1134"/>
          <w:tab w:val="right" w:pos="4820"/>
          <w:tab w:val="right" w:pos="6521"/>
          <w:tab w:val="right" w:pos="8222"/>
        </w:tabs>
        <w:jc w:val="both"/>
        <w:rPr>
          <w:rFonts w:ascii="Arial" w:hAnsi="Arial" w:cs="Arial"/>
          <w:sz w:val="20"/>
        </w:rPr>
      </w:pPr>
    </w:p>
    <w:bookmarkStart w:id="2146" w:name="_MON_1485689288"/>
    <w:bookmarkStart w:id="2147" w:name="_MON_1485692642"/>
    <w:bookmarkStart w:id="2148" w:name="_MON_1392557479"/>
    <w:bookmarkStart w:id="2149" w:name="_MON_1392557534"/>
    <w:bookmarkStart w:id="2150" w:name="_MON_1392557555"/>
    <w:bookmarkStart w:id="2151" w:name="_MON_1392557633"/>
    <w:bookmarkStart w:id="2152" w:name="_MON_1392557738"/>
    <w:bookmarkStart w:id="2153" w:name="_MON_1392640097"/>
    <w:bookmarkStart w:id="2154" w:name="_MON_1392699159"/>
    <w:bookmarkStart w:id="2155" w:name="_MON_1392701402"/>
    <w:bookmarkStart w:id="2156" w:name="_MON_1422173139"/>
    <w:bookmarkStart w:id="2157" w:name="_MON_1422790827"/>
    <w:bookmarkStart w:id="2158" w:name="_MON_1422791217"/>
    <w:bookmarkStart w:id="2159" w:name="_MON_1453640172"/>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Start w:id="2160" w:name="_MON_1454322245"/>
    <w:bookmarkEnd w:id="2160"/>
    <w:p w14:paraId="0026455A" w14:textId="514BFEF7" w:rsidR="006F3461" w:rsidRPr="0088338F" w:rsidRDefault="0088338F" w:rsidP="00560D15">
      <w:pPr>
        <w:tabs>
          <w:tab w:val="left" w:pos="340"/>
          <w:tab w:val="left" w:pos="1134"/>
          <w:tab w:val="right" w:pos="4820"/>
          <w:tab w:val="right" w:pos="6521"/>
          <w:tab w:val="right" w:pos="8222"/>
        </w:tabs>
        <w:jc w:val="both"/>
      </w:pPr>
      <w:r w:rsidRPr="0088338F">
        <w:object w:dxaOrig="12125" w:dyaOrig="6231" w14:anchorId="741DBE8D">
          <v:shape id="_x0000_i1092" type="#_x0000_t75" style="width:473.4pt;height:268.8pt" o:ole="">
            <v:imagedata r:id="rId164" o:title=""/>
          </v:shape>
          <o:OLEObject Type="Embed" ProgID="Excel.Sheet.8" ShapeID="_x0000_i1092" DrawAspect="Content" ObjectID="_1551591593" r:id="rId165"/>
        </w:object>
      </w:r>
    </w:p>
    <w:p w14:paraId="573F4FA2" w14:textId="72C7EF85" w:rsidR="00D54F2C" w:rsidRPr="0088338F" w:rsidRDefault="00D54F2C" w:rsidP="00D54F2C">
      <w:pPr>
        <w:tabs>
          <w:tab w:val="left" w:pos="340"/>
          <w:tab w:val="left" w:pos="1134"/>
          <w:tab w:val="right" w:pos="4820"/>
          <w:tab w:val="right" w:pos="6521"/>
          <w:tab w:val="right" w:pos="8222"/>
        </w:tabs>
        <w:jc w:val="both"/>
        <w:rPr>
          <w:rFonts w:ascii="Arial" w:hAnsi="Arial" w:cs="Arial"/>
          <w:sz w:val="20"/>
        </w:rPr>
      </w:pPr>
      <w:r w:rsidRPr="0088338F">
        <w:rPr>
          <w:rFonts w:ascii="Arial" w:hAnsi="Arial" w:cs="Arial"/>
          <w:sz w:val="20"/>
        </w:rPr>
        <w:t xml:space="preserve">Prevažnú časť záväzkov voči klientom splatných do 7 dní v objeme </w:t>
      </w:r>
      <w:r w:rsidR="00894013" w:rsidRPr="0088338F">
        <w:rPr>
          <w:rFonts w:ascii="Arial" w:hAnsi="Arial" w:cs="Arial"/>
          <w:sz w:val="20"/>
        </w:rPr>
        <w:t>1</w:t>
      </w:r>
      <w:r w:rsidR="00297CAA" w:rsidRPr="0088338F">
        <w:rPr>
          <w:rFonts w:ascii="Arial" w:hAnsi="Arial" w:cs="Arial"/>
          <w:sz w:val="20"/>
        </w:rPr>
        <w:t>33</w:t>
      </w:r>
      <w:r w:rsidR="00894013" w:rsidRPr="0088338F">
        <w:rPr>
          <w:rFonts w:ascii="Arial" w:hAnsi="Arial" w:cs="Arial"/>
          <w:sz w:val="20"/>
        </w:rPr>
        <w:t xml:space="preserve"> </w:t>
      </w:r>
      <w:r w:rsidR="00297CAA" w:rsidRPr="0088338F">
        <w:rPr>
          <w:rFonts w:ascii="Arial" w:hAnsi="Arial" w:cs="Arial"/>
          <w:sz w:val="20"/>
        </w:rPr>
        <w:t>48</w:t>
      </w:r>
      <w:r w:rsidR="00894013" w:rsidRPr="0088338F">
        <w:rPr>
          <w:rFonts w:ascii="Arial" w:hAnsi="Arial" w:cs="Arial"/>
          <w:sz w:val="20"/>
        </w:rPr>
        <w:t>7</w:t>
      </w:r>
      <w:r w:rsidRPr="0088338F">
        <w:rPr>
          <w:rFonts w:ascii="Arial" w:hAnsi="Arial" w:cs="Arial"/>
          <w:sz w:val="20"/>
        </w:rPr>
        <w:t xml:space="preserve"> tis. EUR predstavujú vklady splatné na požiadanie, pri ktorých nie je predpoklad ich vyplatenia klientom v rámci uvedeného intervalu.</w:t>
      </w:r>
    </w:p>
    <w:p w14:paraId="32DECDB3" w14:textId="77777777" w:rsidR="00200890" w:rsidRPr="0088338F" w:rsidRDefault="00200890" w:rsidP="009C1A34">
      <w:pPr>
        <w:tabs>
          <w:tab w:val="left" w:pos="340"/>
          <w:tab w:val="left" w:pos="1134"/>
          <w:tab w:val="right" w:pos="4820"/>
          <w:tab w:val="right" w:pos="6521"/>
          <w:tab w:val="right" w:pos="8222"/>
        </w:tabs>
        <w:jc w:val="both"/>
        <w:rPr>
          <w:rFonts w:ascii="Arial" w:hAnsi="Arial" w:cs="Arial"/>
          <w:sz w:val="20"/>
        </w:rPr>
      </w:pPr>
    </w:p>
    <w:p w14:paraId="288617B5" w14:textId="2A7E6D20" w:rsidR="009C1A34" w:rsidRPr="0088338F" w:rsidRDefault="009C1A34" w:rsidP="009C1A34">
      <w:pPr>
        <w:tabs>
          <w:tab w:val="left" w:pos="340"/>
          <w:tab w:val="left" w:pos="1134"/>
          <w:tab w:val="right" w:pos="4820"/>
          <w:tab w:val="right" w:pos="6521"/>
          <w:tab w:val="right" w:pos="8222"/>
        </w:tabs>
        <w:jc w:val="both"/>
        <w:rPr>
          <w:rFonts w:ascii="Arial" w:hAnsi="Arial" w:cs="Arial"/>
          <w:sz w:val="20"/>
        </w:rPr>
      </w:pPr>
      <w:r w:rsidRPr="0088338F">
        <w:rPr>
          <w:rFonts w:ascii="Arial" w:hAnsi="Arial" w:cs="Arial"/>
          <w:sz w:val="20"/>
        </w:rPr>
        <w:t xml:space="preserve">Nasledujúca tabuľka zobrazuje štruktúru </w:t>
      </w:r>
      <w:r w:rsidR="006764E2" w:rsidRPr="0088338F">
        <w:rPr>
          <w:rFonts w:ascii="Arial" w:hAnsi="Arial" w:cs="Arial"/>
          <w:sz w:val="20"/>
        </w:rPr>
        <w:t>pohľadávok</w:t>
      </w:r>
      <w:r w:rsidRPr="0088338F">
        <w:rPr>
          <w:rFonts w:ascii="Arial" w:hAnsi="Arial" w:cs="Arial"/>
          <w:sz w:val="20"/>
        </w:rPr>
        <w:t xml:space="preserve"> a záväzkov banky z</w:t>
      </w:r>
      <w:r w:rsidR="009429C0" w:rsidRPr="0088338F">
        <w:rPr>
          <w:rFonts w:ascii="Arial" w:hAnsi="Arial" w:cs="Arial"/>
          <w:sz w:val="20"/>
        </w:rPr>
        <w:t> hľadiska ich splatnosti k </w:t>
      </w:r>
      <w:r w:rsidRPr="0088338F">
        <w:rPr>
          <w:rFonts w:ascii="Arial" w:hAnsi="Arial" w:cs="Arial"/>
          <w:sz w:val="20"/>
        </w:rPr>
        <w:t>31</w:t>
      </w:r>
      <w:r w:rsidR="004F674D" w:rsidRPr="0088338F">
        <w:rPr>
          <w:rFonts w:ascii="Arial" w:hAnsi="Arial" w:cs="Arial"/>
          <w:sz w:val="20"/>
        </w:rPr>
        <w:t>.</w:t>
      </w:r>
      <w:r w:rsidR="009429C0" w:rsidRPr="0088338F">
        <w:rPr>
          <w:rFonts w:ascii="Arial" w:hAnsi="Arial" w:cs="Arial"/>
          <w:sz w:val="20"/>
        </w:rPr>
        <w:t> </w:t>
      </w:r>
      <w:r w:rsidR="00456B67" w:rsidRPr="0088338F">
        <w:rPr>
          <w:rFonts w:ascii="Arial" w:hAnsi="Arial" w:cs="Arial"/>
          <w:sz w:val="20"/>
        </w:rPr>
        <w:t>decembr</w:t>
      </w:r>
      <w:r w:rsidR="006764E2" w:rsidRPr="0088338F">
        <w:rPr>
          <w:rFonts w:ascii="Arial" w:hAnsi="Arial" w:cs="Arial"/>
          <w:sz w:val="20"/>
        </w:rPr>
        <w:t>u</w:t>
      </w:r>
      <w:r w:rsidR="00456B67" w:rsidRPr="0088338F">
        <w:rPr>
          <w:rFonts w:ascii="Arial" w:hAnsi="Arial" w:cs="Arial"/>
          <w:sz w:val="20"/>
        </w:rPr>
        <w:t xml:space="preserve"> </w:t>
      </w:r>
      <w:r w:rsidRPr="0088338F">
        <w:rPr>
          <w:rFonts w:ascii="Arial" w:hAnsi="Arial" w:cs="Arial"/>
          <w:sz w:val="20"/>
        </w:rPr>
        <w:t>20</w:t>
      </w:r>
      <w:r w:rsidR="00FD5E9C" w:rsidRPr="0088338F">
        <w:rPr>
          <w:rFonts w:ascii="Arial" w:hAnsi="Arial" w:cs="Arial"/>
          <w:sz w:val="20"/>
        </w:rPr>
        <w:t>1</w:t>
      </w:r>
      <w:r w:rsidR="00391FF9" w:rsidRPr="0088338F">
        <w:rPr>
          <w:rFonts w:ascii="Arial" w:hAnsi="Arial" w:cs="Arial"/>
          <w:sz w:val="20"/>
        </w:rPr>
        <w:t>5</w:t>
      </w:r>
      <w:r w:rsidRPr="0088338F">
        <w:rPr>
          <w:rFonts w:ascii="Arial" w:hAnsi="Arial" w:cs="Arial"/>
          <w:sz w:val="20"/>
        </w:rPr>
        <w:t>:</w:t>
      </w:r>
    </w:p>
    <w:p w14:paraId="3B483FC3" w14:textId="77777777" w:rsidR="00A95172" w:rsidRPr="0088338F" w:rsidRDefault="00A95172" w:rsidP="009C1A34">
      <w:pPr>
        <w:tabs>
          <w:tab w:val="left" w:pos="340"/>
          <w:tab w:val="left" w:pos="1134"/>
          <w:tab w:val="right" w:pos="4820"/>
          <w:tab w:val="right" w:pos="6521"/>
          <w:tab w:val="right" w:pos="8222"/>
        </w:tabs>
        <w:jc w:val="both"/>
        <w:rPr>
          <w:rFonts w:ascii="Arial" w:hAnsi="Arial" w:cs="Arial"/>
          <w:sz w:val="20"/>
        </w:rPr>
      </w:pPr>
    </w:p>
    <w:p w14:paraId="5DC300D7" w14:textId="015D5C04" w:rsidR="00FD5E9C" w:rsidRPr="0088338F" w:rsidRDefault="00391FF9" w:rsidP="009D4C97">
      <w:pPr>
        <w:tabs>
          <w:tab w:val="left" w:pos="340"/>
          <w:tab w:val="left" w:pos="1134"/>
          <w:tab w:val="right" w:pos="4820"/>
          <w:tab w:val="right" w:pos="6521"/>
          <w:tab w:val="right" w:pos="8222"/>
        </w:tabs>
        <w:jc w:val="both"/>
        <w:rPr>
          <w:rFonts w:ascii="Arial" w:hAnsi="Arial" w:cs="Arial"/>
          <w:sz w:val="20"/>
          <w:szCs w:val="20"/>
        </w:rPr>
      </w:pPr>
      <w:r w:rsidRPr="0088338F">
        <w:object w:dxaOrig="12125" w:dyaOrig="6973" w14:anchorId="649F4870">
          <v:shape id="_x0000_i1093" type="#_x0000_t75" style="width:472.2pt;height:302.4pt" o:ole="">
            <v:imagedata r:id="rId166" o:title=""/>
          </v:shape>
          <o:OLEObject Type="Embed" ProgID="Excel.Sheet.8" ShapeID="_x0000_i1093" DrawAspect="Content" ObjectID="_1551591594" r:id="rId167"/>
        </w:object>
      </w:r>
    </w:p>
    <w:p w14:paraId="1D04329E" w14:textId="5C23AD21" w:rsidR="00CB0293" w:rsidRPr="0088338F" w:rsidRDefault="00CB0293" w:rsidP="00CB0293">
      <w:pPr>
        <w:tabs>
          <w:tab w:val="left" w:pos="340"/>
          <w:tab w:val="left" w:pos="1134"/>
          <w:tab w:val="right" w:pos="4820"/>
          <w:tab w:val="right" w:pos="6521"/>
          <w:tab w:val="right" w:pos="8222"/>
        </w:tabs>
        <w:jc w:val="both"/>
        <w:rPr>
          <w:rFonts w:ascii="Arial" w:hAnsi="Arial" w:cs="Arial"/>
          <w:sz w:val="20"/>
        </w:rPr>
      </w:pPr>
      <w:r w:rsidRPr="0088338F">
        <w:rPr>
          <w:rFonts w:ascii="Arial" w:hAnsi="Arial" w:cs="Arial"/>
          <w:sz w:val="20"/>
        </w:rPr>
        <w:t>Prevažnú časť záväzkov voči klientom splatných do 7 dní v objeme 1</w:t>
      </w:r>
      <w:r w:rsidR="005B114A" w:rsidRPr="0088338F">
        <w:rPr>
          <w:rFonts w:ascii="Arial" w:hAnsi="Arial" w:cs="Arial"/>
          <w:sz w:val="20"/>
        </w:rPr>
        <w:t>26</w:t>
      </w:r>
      <w:r w:rsidR="006A668D" w:rsidRPr="0088338F">
        <w:rPr>
          <w:rFonts w:ascii="Arial" w:hAnsi="Arial" w:cs="Arial"/>
          <w:sz w:val="20"/>
        </w:rPr>
        <w:t xml:space="preserve"> </w:t>
      </w:r>
      <w:r w:rsidR="005B114A" w:rsidRPr="0088338F">
        <w:rPr>
          <w:rFonts w:ascii="Arial" w:hAnsi="Arial" w:cs="Arial"/>
          <w:sz w:val="20"/>
        </w:rPr>
        <w:t>037</w:t>
      </w:r>
      <w:r w:rsidRPr="0088338F">
        <w:rPr>
          <w:rFonts w:ascii="Arial" w:hAnsi="Arial" w:cs="Arial"/>
          <w:sz w:val="20"/>
        </w:rPr>
        <w:t xml:space="preserve"> tis. EUR predstavujú vklady splatné na požiadanie, pri ktorých nie je predpoklad ich vyplatenia klientom v rámci uvedeného intervalu.</w:t>
      </w:r>
    </w:p>
    <w:p w14:paraId="45168A33" w14:textId="77777777" w:rsidR="00EE74EA" w:rsidRPr="0088338F" w:rsidRDefault="00EE74EA" w:rsidP="00380F08">
      <w:pPr>
        <w:pStyle w:val="NormlnyArial"/>
        <w:rPr>
          <w:szCs w:val="20"/>
        </w:rPr>
      </w:pPr>
    </w:p>
    <w:p w14:paraId="0CC0A637" w14:textId="77777777" w:rsidR="00CB0293" w:rsidRPr="0088338F" w:rsidRDefault="00CB0293" w:rsidP="00380F08">
      <w:pPr>
        <w:pStyle w:val="NormlnyArial"/>
        <w:rPr>
          <w:szCs w:val="20"/>
        </w:rPr>
      </w:pPr>
    </w:p>
    <w:p w14:paraId="55B53DBB" w14:textId="77777777" w:rsidR="00EC5EFF" w:rsidRPr="0088338F" w:rsidRDefault="00EC5EFF" w:rsidP="00EC5EFF">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 xml:space="preserve">finančné nástroje – </w:t>
      </w:r>
      <w:r w:rsidR="0093513A" w:rsidRPr="0088338F">
        <w:rPr>
          <w:rFonts w:ascii="Arial" w:hAnsi="Arial" w:cs="Arial"/>
          <w:b/>
          <w:caps/>
          <w:sz w:val="20"/>
          <w:szCs w:val="20"/>
        </w:rPr>
        <w:t>riadenie rizika likvidity</w:t>
      </w:r>
    </w:p>
    <w:p w14:paraId="250E2027" w14:textId="77777777" w:rsidR="00EC5EFF" w:rsidRPr="0088338F" w:rsidRDefault="00EC5EFF" w:rsidP="00EC5EFF">
      <w:pPr>
        <w:pStyle w:val="NormlnyArial"/>
      </w:pPr>
    </w:p>
    <w:p w14:paraId="29F43D41" w14:textId="77777777" w:rsidR="00EC5EFF" w:rsidRPr="0088338F" w:rsidRDefault="00EC5EFF" w:rsidP="00EC5EFF">
      <w:pPr>
        <w:ind w:right="45"/>
        <w:jc w:val="both"/>
        <w:rPr>
          <w:rFonts w:ascii="Arial" w:hAnsi="Arial" w:cs="Arial"/>
          <w:sz w:val="20"/>
        </w:rPr>
      </w:pPr>
      <w:r w:rsidRPr="0088338F">
        <w:rPr>
          <w:rFonts w:ascii="Arial" w:hAnsi="Arial" w:cs="Arial"/>
          <w:sz w:val="20"/>
        </w:rPr>
        <w:t xml:space="preserve">Riziko likvidity je riziko straty schopnosti plniť </w:t>
      </w:r>
      <w:r w:rsidR="004F674D" w:rsidRPr="0088338F">
        <w:rPr>
          <w:rFonts w:ascii="Arial" w:hAnsi="Arial" w:cs="Arial"/>
          <w:sz w:val="20"/>
        </w:rPr>
        <w:t xml:space="preserve">si </w:t>
      </w:r>
      <w:r w:rsidRPr="0088338F">
        <w:rPr>
          <w:rFonts w:ascii="Arial" w:hAnsi="Arial" w:cs="Arial"/>
          <w:sz w:val="20"/>
        </w:rPr>
        <w:t xml:space="preserve">záväzky voči obchodným partnerom v dôsledku nesúladu splatnosti aktív a záväzkov. Banka likviditu monitoruje a riadi na základe predpokladaného cash flow peňažných prostriedkov </w:t>
      </w:r>
      <w:r w:rsidR="0058566E" w:rsidRPr="0088338F">
        <w:rPr>
          <w:rFonts w:ascii="Arial" w:hAnsi="Arial" w:cs="Arial"/>
          <w:sz w:val="20"/>
        </w:rPr>
        <w:t xml:space="preserve">z </w:t>
      </w:r>
      <w:r w:rsidR="007A1A00" w:rsidRPr="0088338F">
        <w:rPr>
          <w:rFonts w:ascii="Arial" w:hAnsi="Arial" w:cs="Arial"/>
          <w:sz w:val="20"/>
        </w:rPr>
        <w:t>pohľadávok</w:t>
      </w:r>
      <w:r w:rsidRPr="0088338F">
        <w:rPr>
          <w:rFonts w:ascii="Arial" w:hAnsi="Arial" w:cs="Arial"/>
          <w:sz w:val="20"/>
        </w:rPr>
        <w:t xml:space="preserve"> a </w:t>
      </w:r>
      <w:r w:rsidR="0058566E" w:rsidRPr="0088338F">
        <w:rPr>
          <w:rFonts w:ascii="Arial" w:hAnsi="Arial" w:cs="Arial"/>
          <w:sz w:val="20"/>
        </w:rPr>
        <w:t>záväzkov</w:t>
      </w:r>
      <w:r w:rsidRPr="0088338F">
        <w:rPr>
          <w:rFonts w:ascii="Arial" w:hAnsi="Arial" w:cs="Arial"/>
          <w:sz w:val="20"/>
        </w:rPr>
        <w:t xml:space="preserve">. Na meranie likviditnej expozície banka používa metódu likviditnej medzery a riziko schopnosti plniť </w:t>
      </w:r>
      <w:r w:rsidR="004F674D" w:rsidRPr="0088338F">
        <w:rPr>
          <w:rFonts w:ascii="Arial" w:hAnsi="Arial" w:cs="Arial"/>
          <w:sz w:val="20"/>
        </w:rPr>
        <w:t xml:space="preserve">si </w:t>
      </w:r>
      <w:r w:rsidRPr="0088338F">
        <w:rPr>
          <w:rFonts w:ascii="Arial" w:hAnsi="Arial" w:cs="Arial"/>
          <w:sz w:val="20"/>
        </w:rPr>
        <w:t>záväzky banka obmedzuje a riadi pomocou stanovených limitov nesúladu splatnosti aktív a záväzkov v jednotlivých časových segmentoch.</w:t>
      </w:r>
    </w:p>
    <w:p w14:paraId="19DEAC39" w14:textId="77777777" w:rsidR="008D618E" w:rsidRPr="0088338F" w:rsidRDefault="008D618E" w:rsidP="00EC5EFF">
      <w:pPr>
        <w:ind w:right="45"/>
        <w:jc w:val="both"/>
        <w:rPr>
          <w:rFonts w:ascii="Arial" w:hAnsi="Arial" w:cs="Arial"/>
          <w:sz w:val="20"/>
        </w:rPr>
      </w:pPr>
    </w:p>
    <w:p w14:paraId="0E81D6BC" w14:textId="6F2CA8AA" w:rsidR="00CA3641" w:rsidRPr="0088338F" w:rsidRDefault="00CA3641" w:rsidP="00CA3641">
      <w:pPr>
        <w:tabs>
          <w:tab w:val="left" w:pos="340"/>
          <w:tab w:val="left" w:pos="1134"/>
          <w:tab w:val="right" w:pos="4820"/>
          <w:tab w:val="right" w:pos="6521"/>
          <w:tab w:val="right" w:pos="8222"/>
        </w:tabs>
        <w:jc w:val="both"/>
        <w:rPr>
          <w:rFonts w:ascii="Arial" w:hAnsi="Arial" w:cs="Arial"/>
          <w:sz w:val="20"/>
        </w:rPr>
      </w:pPr>
      <w:r w:rsidRPr="0088338F">
        <w:rPr>
          <w:rFonts w:ascii="Arial" w:hAnsi="Arial" w:cs="Arial"/>
          <w:sz w:val="20"/>
        </w:rPr>
        <w:t xml:space="preserve">Zostatková doba splatnosti nediskontovaných hodnôt </w:t>
      </w:r>
      <w:r w:rsidR="00406596" w:rsidRPr="0088338F">
        <w:rPr>
          <w:rFonts w:ascii="Arial" w:hAnsi="Arial" w:cs="Arial"/>
          <w:sz w:val="20"/>
        </w:rPr>
        <w:t xml:space="preserve">finančných </w:t>
      </w:r>
      <w:r w:rsidR="00371C01" w:rsidRPr="0088338F">
        <w:rPr>
          <w:rFonts w:ascii="Arial" w:hAnsi="Arial" w:cs="Arial"/>
          <w:sz w:val="20"/>
        </w:rPr>
        <w:t>záväzkov</w:t>
      </w:r>
      <w:r w:rsidRPr="0088338F">
        <w:rPr>
          <w:rFonts w:ascii="Arial" w:hAnsi="Arial" w:cs="Arial"/>
          <w:sz w:val="20"/>
        </w:rPr>
        <w:t xml:space="preserve"> </w:t>
      </w:r>
      <w:r w:rsidR="00FF66CF" w:rsidRPr="0088338F">
        <w:rPr>
          <w:rFonts w:ascii="Arial" w:hAnsi="Arial" w:cs="Arial"/>
          <w:sz w:val="20"/>
        </w:rPr>
        <w:t>k 31.</w:t>
      </w:r>
      <w:r w:rsidR="0066449D" w:rsidRPr="0088338F">
        <w:rPr>
          <w:rFonts w:ascii="Arial" w:hAnsi="Arial" w:cs="Arial"/>
          <w:sz w:val="20"/>
        </w:rPr>
        <w:t xml:space="preserve"> decembru </w:t>
      </w:r>
      <w:r w:rsidR="00FF66CF" w:rsidRPr="0088338F">
        <w:rPr>
          <w:rFonts w:ascii="Arial" w:hAnsi="Arial" w:cs="Arial"/>
          <w:sz w:val="20"/>
        </w:rPr>
        <w:t>20</w:t>
      </w:r>
      <w:r w:rsidR="00F43327" w:rsidRPr="0088338F">
        <w:rPr>
          <w:rFonts w:ascii="Arial" w:hAnsi="Arial" w:cs="Arial"/>
          <w:sz w:val="20"/>
        </w:rPr>
        <w:t>1</w:t>
      </w:r>
      <w:r w:rsidR="00391FF9" w:rsidRPr="0088338F">
        <w:rPr>
          <w:rFonts w:ascii="Arial" w:hAnsi="Arial" w:cs="Arial"/>
          <w:sz w:val="20"/>
        </w:rPr>
        <w:t>6</w:t>
      </w:r>
      <w:r w:rsidR="00FF66CF" w:rsidRPr="0088338F">
        <w:rPr>
          <w:rFonts w:ascii="Arial" w:hAnsi="Arial" w:cs="Arial"/>
          <w:sz w:val="20"/>
        </w:rPr>
        <w:t xml:space="preserve"> </w:t>
      </w:r>
      <w:r w:rsidRPr="0088338F">
        <w:rPr>
          <w:rFonts w:ascii="Arial" w:hAnsi="Arial" w:cs="Arial"/>
          <w:sz w:val="20"/>
        </w:rPr>
        <w:t>mala nasledovnú štruktúru:</w:t>
      </w:r>
    </w:p>
    <w:p w14:paraId="26179D7A" w14:textId="77777777" w:rsidR="00ED0CDF" w:rsidRPr="0088338F" w:rsidRDefault="00ED0CDF" w:rsidP="00CA3641">
      <w:pPr>
        <w:tabs>
          <w:tab w:val="left" w:pos="340"/>
          <w:tab w:val="left" w:pos="1134"/>
          <w:tab w:val="right" w:pos="4820"/>
          <w:tab w:val="right" w:pos="6521"/>
          <w:tab w:val="right" w:pos="8222"/>
        </w:tabs>
        <w:jc w:val="both"/>
        <w:rPr>
          <w:rFonts w:ascii="Arial" w:hAnsi="Arial" w:cs="Arial"/>
          <w:sz w:val="20"/>
        </w:rPr>
      </w:pPr>
    </w:p>
    <w:bookmarkStart w:id="2161" w:name="_MON_1422803082"/>
    <w:bookmarkStart w:id="2162" w:name="_MON_1453640272"/>
    <w:bookmarkStart w:id="2163" w:name="_MON_1454311791"/>
    <w:bookmarkStart w:id="2164" w:name="_MON_1485612890"/>
    <w:bookmarkStart w:id="2165" w:name="_MON_1485612897"/>
    <w:bookmarkStart w:id="2166" w:name="_MON_1485613139"/>
    <w:bookmarkStart w:id="2167" w:name="_MON_1297180927"/>
    <w:bookmarkStart w:id="2168" w:name="_MON_1297186470"/>
    <w:bookmarkStart w:id="2169" w:name="_MON_1297500928"/>
    <w:bookmarkStart w:id="2170" w:name="_MON_1297500938"/>
    <w:bookmarkStart w:id="2171" w:name="_MON_1322830947"/>
    <w:bookmarkStart w:id="2172" w:name="_MON_1328690499"/>
    <w:bookmarkStart w:id="2173" w:name="_MON_1355311810"/>
    <w:bookmarkStart w:id="2174" w:name="_MON_1359544917"/>
    <w:bookmarkStart w:id="2175" w:name="_MON_1389891506"/>
    <w:bookmarkStart w:id="2176" w:name="_MON_1391005376"/>
    <w:bookmarkStart w:id="2177" w:name="_MON_1391957549"/>
    <w:bookmarkStart w:id="2178" w:name="OLE_LINK24"/>
    <w:bookmarkStart w:id="2179" w:name="OLE_LINK25"/>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Start w:id="2180" w:name="_MON_1422172789"/>
    <w:bookmarkEnd w:id="2180"/>
    <w:p w14:paraId="7301071E" w14:textId="0056B629" w:rsidR="00FF66CF" w:rsidRPr="0088338F" w:rsidRDefault="00C16505" w:rsidP="00380F08">
      <w:pPr>
        <w:tabs>
          <w:tab w:val="left" w:pos="340"/>
          <w:tab w:val="left" w:pos="1134"/>
          <w:tab w:val="right" w:pos="4820"/>
          <w:tab w:val="right" w:pos="6521"/>
          <w:tab w:val="right" w:pos="8222"/>
        </w:tabs>
        <w:jc w:val="both"/>
        <w:rPr>
          <w:rFonts w:ascii="Arial" w:hAnsi="Arial" w:cs="Arial"/>
          <w:sz w:val="20"/>
        </w:rPr>
      </w:pPr>
      <w:r w:rsidRPr="0088338F">
        <w:object w:dxaOrig="11858" w:dyaOrig="2521" w14:anchorId="7C955B08">
          <v:shape id="_x0000_i1094" type="#_x0000_t75" style="width:453.6pt;height:107.4pt" o:ole="">
            <v:imagedata r:id="rId168" o:title=""/>
          </v:shape>
          <o:OLEObject Type="Embed" ProgID="Excel.Sheet.8" ShapeID="_x0000_i1094" DrawAspect="Content" ObjectID="_1551591595" r:id="rId169"/>
        </w:object>
      </w:r>
      <w:bookmarkEnd w:id="2178"/>
      <w:bookmarkEnd w:id="2179"/>
    </w:p>
    <w:p w14:paraId="097AF3C7" w14:textId="77777777" w:rsidR="00200890" w:rsidRPr="0088338F" w:rsidRDefault="00200890" w:rsidP="00FF66CF">
      <w:pPr>
        <w:tabs>
          <w:tab w:val="left" w:pos="340"/>
          <w:tab w:val="left" w:pos="1134"/>
          <w:tab w:val="right" w:pos="4820"/>
          <w:tab w:val="right" w:pos="6521"/>
          <w:tab w:val="right" w:pos="8222"/>
        </w:tabs>
        <w:jc w:val="both"/>
        <w:rPr>
          <w:rFonts w:ascii="Arial" w:hAnsi="Arial" w:cs="Arial"/>
          <w:sz w:val="20"/>
        </w:rPr>
      </w:pPr>
    </w:p>
    <w:p w14:paraId="4CE6BFBB" w14:textId="759FB99A" w:rsidR="00FF66CF" w:rsidRPr="0088338F" w:rsidRDefault="00FF66CF" w:rsidP="00FF66CF">
      <w:pPr>
        <w:tabs>
          <w:tab w:val="left" w:pos="340"/>
          <w:tab w:val="left" w:pos="1134"/>
          <w:tab w:val="right" w:pos="4820"/>
          <w:tab w:val="right" w:pos="6521"/>
          <w:tab w:val="right" w:pos="8222"/>
        </w:tabs>
        <w:jc w:val="both"/>
        <w:rPr>
          <w:rFonts w:ascii="Arial" w:hAnsi="Arial" w:cs="Arial"/>
          <w:sz w:val="20"/>
        </w:rPr>
      </w:pPr>
      <w:r w:rsidRPr="0088338F">
        <w:rPr>
          <w:rFonts w:ascii="Arial" w:hAnsi="Arial" w:cs="Arial"/>
          <w:sz w:val="20"/>
        </w:rPr>
        <w:t xml:space="preserve">Zostatková doba splatnosti nediskontovaných hodnôt </w:t>
      </w:r>
      <w:r w:rsidR="00406596" w:rsidRPr="0088338F">
        <w:rPr>
          <w:rFonts w:ascii="Arial" w:hAnsi="Arial" w:cs="Arial"/>
          <w:sz w:val="20"/>
        </w:rPr>
        <w:t xml:space="preserve">finančných </w:t>
      </w:r>
      <w:r w:rsidR="00371C01" w:rsidRPr="0088338F">
        <w:rPr>
          <w:rFonts w:ascii="Arial" w:hAnsi="Arial" w:cs="Arial"/>
          <w:sz w:val="20"/>
        </w:rPr>
        <w:t>záväzkov</w:t>
      </w:r>
      <w:r w:rsidRPr="0088338F">
        <w:rPr>
          <w:rFonts w:ascii="Arial" w:hAnsi="Arial" w:cs="Arial"/>
          <w:sz w:val="20"/>
        </w:rPr>
        <w:t xml:space="preserve"> k 31.</w:t>
      </w:r>
      <w:r w:rsidR="0066449D" w:rsidRPr="0088338F">
        <w:rPr>
          <w:rFonts w:ascii="Arial" w:hAnsi="Arial" w:cs="Arial"/>
          <w:sz w:val="20"/>
        </w:rPr>
        <w:t xml:space="preserve"> decembru </w:t>
      </w:r>
      <w:r w:rsidRPr="0088338F">
        <w:rPr>
          <w:rFonts w:ascii="Arial" w:hAnsi="Arial" w:cs="Arial"/>
          <w:sz w:val="20"/>
        </w:rPr>
        <w:t>20</w:t>
      </w:r>
      <w:r w:rsidR="00FD5E9C" w:rsidRPr="0088338F">
        <w:rPr>
          <w:rFonts w:ascii="Arial" w:hAnsi="Arial" w:cs="Arial"/>
          <w:sz w:val="20"/>
        </w:rPr>
        <w:t>1</w:t>
      </w:r>
      <w:r w:rsidR="00391FF9" w:rsidRPr="0088338F">
        <w:rPr>
          <w:rFonts w:ascii="Arial" w:hAnsi="Arial" w:cs="Arial"/>
          <w:sz w:val="20"/>
        </w:rPr>
        <w:t>5</w:t>
      </w:r>
      <w:r w:rsidRPr="0088338F">
        <w:rPr>
          <w:rFonts w:ascii="Arial" w:hAnsi="Arial" w:cs="Arial"/>
          <w:sz w:val="20"/>
        </w:rPr>
        <w:t xml:space="preserve"> mala nasledovnú štruktúru:</w:t>
      </w:r>
    </w:p>
    <w:p w14:paraId="4B5649BE" w14:textId="77777777" w:rsidR="00FF66CF" w:rsidRPr="0088338F" w:rsidRDefault="00FF66CF" w:rsidP="00380F08">
      <w:pPr>
        <w:tabs>
          <w:tab w:val="left" w:pos="340"/>
          <w:tab w:val="left" w:pos="1134"/>
          <w:tab w:val="right" w:pos="4820"/>
          <w:tab w:val="right" w:pos="6521"/>
          <w:tab w:val="right" w:pos="8222"/>
        </w:tabs>
        <w:jc w:val="both"/>
        <w:rPr>
          <w:rFonts w:ascii="Arial" w:hAnsi="Arial" w:cs="Arial"/>
          <w:sz w:val="20"/>
          <w:szCs w:val="20"/>
        </w:rPr>
      </w:pPr>
    </w:p>
    <w:p w14:paraId="4857CB93" w14:textId="08D4AD1D" w:rsidR="00F43327" w:rsidRPr="0088338F" w:rsidRDefault="00391FF9" w:rsidP="00380F08">
      <w:pPr>
        <w:tabs>
          <w:tab w:val="left" w:pos="340"/>
          <w:tab w:val="left" w:pos="1134"/>
          <w:tab w:val="right" w:pos="4820"/>
          <w:tab w:val="right" w:pos="6521"/>
          <w:tab w:val="right" w:pos="8222"/>
        </w:tabs>
        <w:jc w:val="both"/>
      </w:pPr>
      <w:r w:rsidRPr="0088338F">
        <w:object w:dxaOrig="11890" w:dyaOrig="2522" w14:anchorId="624193EC">
          <v:shape id="_x0000_i1095" type="#_x0000_t75" style="width:454.8pt;height:107.4pt" o:ole="">
            <v:imagedata r:id="rId170" o:title=""/>
          </v:shape>
          <o:OLEObject Type="Embed" ProgID="Excel.Sheet.8" ShapeID="_x0000_i1095" DrawAspect="Content" ObjectID="_1551591596" r:id="rId171"/>
        </w:object>
      </w:r>
    </w:p>
    <w:p w14:paraId="6B29A02A" w14:textId="77777777" w:rsidR="00E11952" w:rsidRPr="0088338F" w:rsidRDefault="00E11952" w:rsidP="0034313C">
      <w:pPr>
        <w:pStyle w:val="NormlnyArial"/>
      </w:pPr>
    </w:p>
    <w:p w14:paraId="36F25C53" w14:textId="77777777" w:rsidR="003F2B66" w:rsidRPr="0088338F" w:rsidRDefault="003F2B66"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 xml:space="preserve">finančné nástroje – </w:t>
      </w:r>
      <w:r w:rsidR="003558D7" w:rsidRPr="0088338F">
        <w:rPr>
          <w:rFonts w:ascii="Arial" w:hAnsi="Arial" w:cs="Arial"/>
          <w:b/>
          <w:caps/>
          <w:sz w:val="20"/>
          <w:szCs w:val="20"/>
        </w:rPr>
        <w:t>KREDITNÉ riziko</w:t>
      </w:r>
    </w:p>
    <w:p w14:paraId="0ACCB9BE" w14:textId="77777777" w:rsidR="00087ACE" w:rsidRPr="0088338F" w:rsidRDefault="00087ACE" w:rsidP="00646403">
      <w:pPr>
        <w:pStyle w:val="NormlnyArial"/>
      </w:pPr>
    </w:p>
    <w:p w14:paraId="6AFE5C7A" w14:textId="77777777" w:rsidR="003558D7" w:rsidRPr="0088338F" w:rsidRDefault="003558D7" w:rsidP="003558D7">
      <w:pPr>
        <w:pStyle w:val="NormlnyArial"/>
      </w:pPr>
      <w:r w:rsidRPr="0088338F">
        <w:t>Banka je z titulu svojich obchodných aktivít vyplývajúcich z poskytovania úverov, bankových záruk, zabezpečovacích obchodov, investičných aktivít a sprostredkovateľských činností vystavená kreditnému riziku spočívajúcemu v tom, že dlžník alebo protistrana nedodrží svoje zmluvné záväzky.</w:t>
      </w:r>
    </w:p>
    <w:p w14:paraId="3B2EA5D6" w14:textId="77777777" w:rsidR="003558D7" w:rsidRPr="0088338F" w:rsidRDefault="003558D7" w:rsidP="003558D7">
      <w:pPr>
        <w:pStyle w:val="NormlnyArial"/>
      </w:pPr>
    </w:p>
    <w:p w14:paraId="079CE3C7" w14:textId="77777777" w:rsidR="003558D7" w:rsidRPr="0088338F" w:rsidRDefault="003558D7" w:rsidP="003558D7">
      <w:pPr>
        <w:pStyle w:val="NormlnyArial"/>
      </w:pPr>
      <w:r w:rsidRPr="0088338F">
        <w:t>Banka znižuje mieru kreditného rizika prostredníctvom stanovovania limitov angažovanosti vo vzťahu k jednému dlžníkovi alebo ekonomicky prepojenej skupine dlžníkov a tiež voči jednotlivým odvetviam národného hospodárstva tak, aby nevznikla neprimeraná koncentrácia kreditného rizika v dôsledku akumulácie pohľadávok voči protistrane, ekonomicky prepojenej skupine, resp. určitému odvetviu národného hospodárstva. Skutočná angažovanosť sa pravidelne porovnáva so stanovenými limitmi. Banka považuje za významnú angažovanosť pohľadávku voči dlžníkom alebo ekonomicky prepojenej skupine dlžníkov, ktorá presahuje 5% vlastných zdrojov banky. Nadmerná koncentrácia úverovej angažovanosti voči jednému subjektu ovplyvňuje schopnosť dlžníka plniť si záväzky. Banka vytvorila systém vnútorných reportov o významnej úverovej angažovanosti voči dlžníkom, ktorá prekračuje stanovenú hranicu.</w:t>
      </w:r>
    </w:p>
    <w:p w14:paraId="28DB0563" w14:textId="77777777" w:rsidR="003558D7" w:rsidRPr="0088338F" w:rsidRDefault="003558D7" w:rsidP="003558D7">
      <w:pPr>
        <w:pStyle w:val="NormlnyArial"/>
      </w:pPr>
    </w:p>
    <w:p w14:paraId="756A745D" w14:textId="157C58E4" w:rsidR="003558D7" w:rsidRPr="0088338F" w:rsidRDefault="003558D7" w:rsidP="003558D7">
      <w:pPr>
        <w:pStyle w:val="NormlnyArial"/>
      </w:pPr>
      <w:r w:rsidRPr="0088338F">
        <w:t xml:space="preserve">Kreditné riziko je riadené aj pomocou pravidelného monitoringu finančných aktív a následnej analýzy schopnosti dlžníkov splácať svoje záväzky a v neposlednom rade získavaním </w:t>
      </w:r>
      <w:r w:rsidR="006C52F7" w:rsidRPr="0088338F">
        <w:t>kvalitného</w:t>
      </w:r>
      <w:r w:rsidR="00863D04" w:rsidRPr="0088338F">
        <w:t xml:space="preserve"> </w:t>
      </w:r>
      <w:r w:rsidRPr="0088338F">
        <w:t>a likvidného zabezpečenia pohľadávok banky z aktívnych úverových obchodov.</w:t>
      </w:r>
    </w:p>
    <w:p w14:paraId="0FFF05FB" w14:textId="77777777" w:rsidR="007A0C5E" w:rsidRPr="0088338F" w:rsidRDefault="007A0C5E" w:rsidP="007A0C5E">
      <w:pPr>
        <w:pStyle w:val="NormlnyArial"/>
      </w:pPr>
    </w:p>
    <w:p w14:paraId="45951AC4" w14:textId="237C9441" w:rsidR="007A0C5E" w:rsidRPr="0088338F" w:rsidRDefault="007A0C5E" w:rsidP="007A0C5E">
      <w:pPr>
        <w:pStyle w:val="NormlnyArial"/>
      </w:pPr>
      <w:r w:rsidRPr="0088338F">
        <w:t>K vytvoreniu opravných položiek k finančným aktívam posudzovaným individuálne viedli v roku 20</w:t>
      </w:r>
      <w:r w:rsidR="00F43327" w:rsidRPr="0088338F">
        <w:t>1</w:t>
      </w:r>
      <w:r w:rsidR="00E362B5" w:rsidRPr="0088338F">
        <w:t>6</w:t>
      </w:r>
      <w:r w:rsidRPr="0088338F">
        <w:t xml:space="preserve"> najmä nasledovné skutočnosti:</w:t>
      </w:r>
    </w:p>
    <w:p w14:paraId="0430ADF8" w14:textId="77777777" w:rsidR="007A0C5E" w:rsidRPr="0088338F" w:rsidRDefault="007A0C5E" w:rsidP="007A0C5E">
      <w:pPr>
        <w:pStyle w:val="NormlnyArial"/>
      </w:pPr>
    </w:p>
    <w:p w14:paraId="5A8EB19F" w14:textId="77777777" w:rsidR="007A0C5E" w:rsidRPr="0088338F" w:rsidRDefault="007A0C5E" w:rsidP="007A0C5E">
      <w:pPr>
        <w:pStyle w:val="NormlnyArial"/>
        <w:ind w:left="851" w:hanging="311"/>
      </w:pPr>
      <w:r w:rsidRPr="0088338F">
        <w:t>1.</w:t>
      </w:r>
      <w:r w:rsidRPr="0088338F">
        <w:tab/>
        <w:t>klient nebol schopný realizovať podnikateľský zámer v dohodnutých termínoch,</w:t>
      </w:r>
    </w:p>
    <w:p w14:paraId="2F41193F" w14:textId="77777777" w:rsidR="007A0C5E" w:rsidRPr="0088338F" w:rsidRDefault="007A0C5E" w:rsidP="007A0C5E">
      <w:pPr>
        <w:pStyle w:val="NormlnyArial"/>
        <w:ind w:left="851" w:hanging="311"/>
      </w:pPr>
      <w:r w:rsidRPr="0088338F">
        <w:t>2.</w:t>
      </w:r>
      <w:r w:rsidRPr="0088338F">
        <w:tab/>
        <w:t xml:space="preserve">klient napriek upozorneniam banky neplnil dohodnuté zmluvné podmienky, </w:t>
      </w:r>
    </w:p>
    <w:p w14:paraId="6F7262B8" w14:textId="77777777" w:rsidR="007A0C5E" w:rsidRPr="0088338F" w:rsidRDefault="007A0C5E" w:rsidP="007A0C5E">
      <w:pPr>
        <w:pStyle w:val="NormlnyArial"/>
        <w:ind w:left="851" w:hanging="311"/>
      </w:pPr>
      <w:r w:rsidRPr="0088338F">
        <w:t>3.</w:t>
      </w:r>
      <w:r w:rsidRPr="0088338F">
        <w:tab/>
        <w:t>klient nesplatil poskytnutý úver riadne a včas.</w:t>
      </w:r>
    </w:p>
    <w:p w14:paraId="3422CA82" w14:textId="73AEACA0" w:rsidR="008E6838" w:rsidRPr="0088338F" w:rsidRDefault="008E6838">
      <w:pPr>
        <w:rPr>
          <w:rFonts w:ascii="Arial" w:hAnsi="Arial" w:cs="Arial"/>
          <w:b/>
          <w:sz w:val="20"/>
          <w:szCs w:val="20"/>
        </w:rPr>
      </w:pPr>
    </w:p>
    <w:p w14:paraId="101493B1" w14:textId="445CB89A" w:rsidR="007A0C5E" w:rsidRPr="0088338F" w:rsidRDefault="007A0C5E" w:rsidP="007A0C5E">
      <w:pPr>
        <w:jc w:val="both"/>
        <w:rPr>
          <w:rFonts w:ascii="Arial" w:hAnsi="Arial" w:cs="Arial"/>
          <w:b/>
          <w:sz w:val="20"/>
          <w:szCs w:val="20"/>
        </w:rPr>
      </w:pPr>
      <w:r w:rsidRPr="0088338F">
        <w:rPr>
          <w:rFonts w:ascii="Arial" w:hAnsi="Arial" w:cs="Arial"/>
          <w:b/>
          <w:sz w:val="20"/>
          <w:szCs w:val="20"/>
        </w:rPr>
        <w:t xml:space="preserve">Tvorba </w:t>
      </w:r>
      <w:r w:rsidR="006A7BD4" w:rsidRPr="0088338F">
        <w:rPr>
          <w:rFonts w:ascii="Arial" w:hAnsi="Arial" w:cs="Arial"/>
          <w:b/>
          <w:sz w:val="20"/>
          <w:szCs w:val="20"/>
        </w:rPr>
        <w:t>opravných položiek</w:t>
      </w:r>
    </w:p>
    <w:p w14:paraId="0072B217" w14:textId="77777777" w:rsidR="003558D7" w:rsidRPr="0088338F" w:rsidRDefault="003558D7" w:rsidP="003558D7">
      <w:pPr>
        <w:pStyle w:val="NormlnyArial"/>
      </w:pPr>
      <w:r w:rsidRPr="0088338F">
        <w:t>Banka má vo svojich interných pokynoch definované udalosti straty a k nim priradenú mieru redukcie budúcich peňažných tokov z ekonomickej činnosti dlžníkov. Následne prepočítava všetky očakávané peňažné toky vrátane peňažných tokov z realizácie kolaterálu efektívnou úrokovou mierou. V prípade znehodnotenia peňažnej pohľadávky banka vytvára na krytie identifikovaného rizika opravnú položku ku konkrétnemu finančnému aktívu.</w:t>
      </w:r>
    </w:p>
    <w:p w14:paraId="4B26C617" w14:textId="77777777" w:rsidR="003558D7" w:rsidRPr="0088338F" w:rsidRDefault="003558D7" w:rsidP="003558D7">
      <w:pPr>
        <w:pStyle w:val="NormlnyArial"/>
      </w:pPr>
    </w:p>
    <w:p w14:paraId="298A40DE" w14:textId="12724BCE" w:rsidR="008A798D" w:rsidRPr="0088338F" w:rsidRDefault="003558D7" w:rsidP="003558D7">
      <w:pPr>
        <w:pStyle w:val="NormlnyArial"/>
      </w:pPr>
      <w:r w:rsidRPr="0088338F">
        <w:t xml:space="preserve">Banka v súlade s pravidlami IFRS vytvára portfóliá finančných aktív, ktoré majú spoločné znaky a existuje pravdepodobnosť ich znehodnotenia v prípade vzniku objektívnych skutočností na relevantnom trhu. Portfóliá finančných aktív sa podľa objemu jednotlivých poskytnutých úverov delia na významné a nevýznamné. </w:t>
      </w:r>
      <w:r w:rsidR="008A798D" w:rsidRPr="0088338F">
        <w:t>Medzi portfóliá významných finančných aktív patria portfóliá úverov poskytnutých korporátnym klientom na projektové financovanie v oblasti nehnuteľností a činnosti spojené s prevádzkou, resp. prenájmom nehnuteľností, na financovan</w:t>
      </w:r>
      <w:r w:rsidR="008E6838" w:rsidRPr="0088338F">
        <w:t>ie fotovoltaických elektrární a </w:t>
      </w:r>
      <w:r w:rsidR="008A798D" w:rsidRPr="0088338F">
        <w:t xml:space="preserve">nových investičných zámerov, kde je návratnosť úveru viazaná na generovanie budúcich cash-flow. </w:t>
      </w:r>
    </w:p>
    <w:p w14:paraId="6D549EB1" w14:textId="77777777" w:rsidR="00052579" w:rsidRDefault="00052579">
      <w:pPr>
        <w:rPr>
          <w:rFonts w:ascii="Arial" w:hAnsi="Arial" w:cs="Arial"/>
          <w:sz w:val="20"/>
        </w:rPr>
      </w:pPr>
      <w:r>
        <w:br w:type="page"/>
      </w:r>
    </w:p>
    <w:p w14:paraId="3DD3C49D" w14:textId="6BA32879" w:rsidR="003558D7" w:rsidRPr="0088338F" w:rsidRDefault="008A798D" w:rsidP="003558D7">
      <w:pPr>
        <w:pStyle w:val="NormlnyArial"/>
      </w:pPr>
      <w:r w:rsidRPr="0088338F">
        <w:lastRenderedPageBreak/>
        <w:t>Na krytie strát, ktoré zatiaľ neboli identifikované na individuálnej úrovni, avšak na základe objektívnych historických skúseností sú obsiahnuté v jednotlivých portfóliách, slúžia opravné položky vytvorené pre portfóliá finančných aktív.</w:t>
      </w:r>
      <w:r w:rsidR="003558D7" w:rsidRPr="0088338F">
        <w:t xml:space="preserve"> Opravné položky tvorené na portfóliovom základe sú zamerané na to, aby odrážali potenciálne riziko straty, ktoré nemožno v danom čase identifikovať individuálne, ale na základe historických skúseností a vplyvu súčasných trhových podmienok sa zdá, že ich treba vyjadriť vo výkaze o finančnej situácii.</w:t>
      </w:r>
    </w:p>
    <w:p w14:paraId="401365F7" w14:textId="77777777" w:rsidR="004E1719" w:rsidRPr="0088338F" w:rsidRDefault="004E1719" w:rsidP="003558D7">
      <w:pPr>
        <w:jc w:val="both"/>
        <w:rPr>
          <w:rFonts w:ascii="Arial" w:hAnsi="Arial" w:cs="Arial"/>
          <w:sz w:val="20"/>
        </w:rPr>
      </w:pPr>
    </w:p>
    <w:p w14:paraId="002A99E6" w14:textId="433B98AF" w:rsidR="003558D7" w:rsidRPr="0088338F" w:rsidRDefault="003558D7" w:rsidP="003558D7">
      <w:pPr>
        <w:jc w:val="both"/>
        <w:rPr>
          <w:rFonts w:ascii="Arial" w:hAnsi="Arial" w:cs="Arial"/>
          <w:sz w:val="20"/>
        </w:rPr>
      </w:pPr>
      <w:r w:rsidRPr="0088338F">
        <w:rPr>
          <w:rFonts w:ascii="Arial" w:hAnsi="Arial" w:cs="Arial"/>
          <w:sz w:val="20"/>
        </w:rPr>
        <w:t>Banka sleduje zmeny ekonomických podmienok na trhu  a pravidelne prehodnocuje  výšku skupinových opravných položiek k týmto portfóliám</w:t>
      </w:r>
      <w:r w:rsidR="008A798D" w:rsidRPr="0088338F">
        <w:rPr>
          <w:rFonts w:ascii="Arial" w:hAnsi="Arial" w:cs="Arial"/>
          <w:sz w:val="20"/>
        </w:rPr>
        <w:t>.</w:t>
      </w:r>
      <w:r w:rsidRPr="0088338F">
        <w:rPr>
          <w:rFonts w:ascii="Arial" w:hAnsi="Arial" w:cs="Arial"/>
          <w:sz w:val="20"/>
        </w:rPr>
        <w:t xml:space="preserve"> </w:t>
      </w:r>
    </w:p>
    <w:p w14:paraId="7D5EBE61" w14:textId="77777777" w:rsidR="007A0C5E" w:rsidRPr="0088338F" w:rsidRDefault="007A0C5E" w:rsidP="007A0C5E">
      <w:pPr>
        <w:jc w:val="both"/>
        <w:rPr>
          <w:rFonts w:ascii="Arial" w:hAnsi="Arial" w:cs="Arial"/>
          <w:sz w:val="20"/>
          <w:szCs w:val="20"/>
        </w:rPr>
      </w:pPr>
    </w:p>
    <w:p w14:paraId="36BA876D" w14:textId="77777777" w:rsidR="002E14CC" w:rsidRPr="0088338F" w:rsidRDefault="002E14CC" w:rsidP="006A0B29">
      <w:pPr>
        <w:jc w:val="both"/>
      </w:pPr>
      <w:r w:rsidRPr="0088338F">
        <w:rPr>
          <w:rFonts w:ascii="Arial" w:hAnsi="Arial" w:cs="Arial"/>
          <w:b/>
          <w:sz w:val="20"/>
        </w:rPr>
        <w:t>Úverov</w:t>
      </w:r>
      <w:r w:rsidR="00384364" w:rsidRPr="0088338F">
        <w:rPr>
          <w:rFonts w:ascii="Arial" w:hAnsi="Arial" w:cs="Arial"/>
          <w:b/>
          <w:sz w:val="20"/>
        </w:rPr>
        <w:t>á</w:t>
      </w:r>
      <w:r w:rsidRPr="0088338F">
        <w:rPr>
          <w:rFonts w:ascii="Arial" w:hAnsi="Arial" w:cs="Arial"/>
          <w:b/>
          <w:sz w:val="20"/>
        </w:rPr>
        <w:t xml:space="preserve"> expozícia, </w:t>
      </w:r>
      <w:r w:rsidR="004E206E" w:rsidRPr="0088338F">
        <w:rPr>
          <w:rFonts w:ascii="Arial" w:hAnsi="Arial" w:cs="Arial"/>
          <w:b/>
          <w:sz w:val="20"/>
        </w:rPr>
        <w:t>zábezpeky</w:t>
      </w:r>
    </w:p>
    <w:bookmarkStart w:id="2181" w:name="_MON_1456141980"/>
    <w:bookmarkStart w:id="2182" w:name="_MON_1456142024"/>
    <w:bookmarkStart w:id="2183" w:name="_MON_1355312121"/>
    <w:bookmarkStart w:id="2184" w:name="_MON_1355312202"/>
    <w:bookmarkStart w:id="2185" w:name="_MON_1355312296"/>
    <w:bookmarkStart w:id="2186" w:name="_MON_1359533053"/>
    <w:bookmarkStart w:id="2187" w:name="_MON_1389893481"/>
    <w:bookmarkStart w:id="2188" w:name="_MON_1390825255"/>
    <w:bookmarkStart w:id="2189" w:name="_MON_1391958115"/>
    <w:bookmarkStart w:id="2190" w:name="_MON_1422097173"/>
    <w:bookmarkStart w:id="2191" w:name="_MON_1422423633"/>
    <w:bookmarkStart w:id="2192" w:name="_MON_1453640424"/>
    <w:bookmarkStart w:id="2193" w:name="_MON_1454216464"/>
    <w:bookmarkStart w:id="2194" w:name="_MON_1454308985"/>
    <w:bookmarkStart w:id="2195" w:name="_MON_1456130153"/>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Start w:id="2196" w:name="_MON_1456130371"/>
    <w:bookmarkEnd w:id="2196"/>
    <w:p w14:paraId="2CEA2FF3" w14:textId="170FE856" w:rsidR="00E151E7" w:rsidRPr="0088338F" w:rsidRDefault="00E362B5" w:rsidP="0007674C">
      <w:pPr>
        <w:pStyle w:val="NormlnyArial"/>
      </w:pPr>
      <w:r w:rsidRPr="0088338F">
        <w:object w:dxaOrig="9669" w:dyaOrig="2768" w14:anchorId="74D980AC">
          <v:shape id="_x0000_i1096" type="#_x0000_t75" style="width:450.6pt;height:142.8pt" o:ole="" o:preferrelative="f">
            <v:imagedata r:id="rId172" o:title=""/>
            <o:lock v:ext="edit" aspectratio="f"/>
          </v:shape>
          <o:OLEObject Type="Embed" ProgID="Excel.Sheet.8" ShapeID="_x0000_i1096" DrawAspect="Content" ObjectID="_1551591597" r:id="rId173"/>
        </w:object>
      </w:r>
    </w:p>
    <w:p w14:paraId="0B42C722" w14:textId="77777777" w:rsidR="00391FF9" w:rsidRPr="0088338F" w:rsidRDefault="00391FF9" w:rsidP="0007674C">
      <w:pPr>
        <w:pStyle w:val="NormlnyArial"/>
      </w:pPr>
    </w:p>
    <w:p w14:paraId="01EF361F" w14:textId="77777777" w:rsidR="003558D7" w:rsidRPr="0088338F" w:rsidRDefault="003558D7" w:rsidP="003558D7">
      <w:pPr>
        <w:jc w:val="both"/>
        <w:rPr>
          <w:rFonts w:ascii="Arial" w:hAnsi="Arial" w:cs="Arial"/>
          <w:sz w:val="20"/>
        </w:rPr>
      </w:pPr>
      <w:r w:rsidRPr="0088338F">
        <w:rPr>
          <w:rFonts w:ascii="Arial" w:hAnsi="Arial" w:cs="Arial"/>
          <w:sz w:val="20"/>
        </w:rPr>
        <w:t>Požadovaná výška a druh kolaterálu na zabezpečenie kreditného rizika protistrany pri úverových obchodoch závisí od miery kreditného rizika konkrétneho úverového obchodu identifikovaného bankou v procese spracovania obchodu. Banka pravidelne vykonáva precenenie hodnoty kolaterálov.</w:t>
      </w:r>
    </w:p>
    <w:p w14:paraId="50FC0366" w14:textId="77777777" w:rsidR="003558D7" w:rsidRPr="0088338F" w:rsidRDefault="003558D7" w:rsidP="003558D7">
      <w:pPr>
        <w:jc w:val="both"/>
        <w:rPr>
          <w:rFonts w:ascii="Arial" w:hAnsi="Arial" w:cs="Arial"/>
          <w:sz w:val="20"/>
        </w:rPr>
      </w:pPr>
    </w:p>
    <w:p w14:paraId="6F1B4C7A" w14:textId="77777777" w:rsidR="003558D7" w:rsidRPr="0088338F" w:rsidRDefault="003558D7" w:rsidP="003558D7">
      <w:pPr>
        <w:jc w:val="both"/>
        <w:rPr>
          <w:rFonts w:ascii="Arial" w:hAnsi="Arial" w:cs="Arial"/>
          <w:sz w:val="20"/>
        </w:rPr>
      </w:pPr>
      <w:r w:rsidRPr="0088338F">
        <w:rPr>
          <w:rFonts w:ascii="Arial" w:hAnsi="Arial" w:cs="Arial"/>
          <w:sz w:val="20"/>
        </w:rPr>
        <w:t xml:space="preserve">Banka má v interných pokynoch definované postupy akceptácie a oceňovania jednotlivých druhov kolaterálov v závislosti od ich likvidity. </w:t>
      </w:r>
    </w:p>
    <w:p w14:paraId="0551CECC" w14:textId="77777777" w:rsidR="003558D7" w:rsidRPr="0088338F" w:rsidRDefault="003558D7" w:rsidP="003558D7">
      <w:pPr>
        <w:jc w:val="both"/>
        <w:rPr>
          <w:rFonts w:ascii="Arial" w:hAnsi="Arial" w:cs="Arial"/>
          <w:sz w:val="20"/>
        </w:rPr>
      </w:pPr>
    </w:p>
    <w:p w14:paraId="2E771FEF" w14:textId="77777777" w:rsidR="003558D7" w:rsidRPr="0088338F" w:rsidRDefault="003558D7" w:rsidP="003558D7">
      <w:pPr>
        <w:jc w:val="both"/>
        <w:rPr>
          <w:rFonts w:ascii="Arial" w:hAnsi="Arial" w:cs="Arial"/>
          <w:sz w:val="20"/>
        </w:rPr>
      </w:pPr>
      <w:r w:rsidRPr="0088338F">
        <w:rPr>
          <w:rFonts w:ascii="Arial" w:hAnsi="Arial" w:cs="Arial"/>
          <w:sz w:val="20"/>
        </w:rPr>
        <w:t>Najčastejšie používanými druhmi kolaterálov sú:</w:t>
      </w:r>
    </w:p>
    <w:p w14:paraId="2B10D3AA" w14:textId="77777777" w:rsidR="00E25709" w:rsidRPr="0088338F" w:rsidRDefault="00E25709" w:rsidP="003558D7">
      <w:pPr>
        <w:jc w:val="both"/>
        <w:rPr>
          <w:rFonts w:ascii="Arial" w:hAnsi="Arial" w:cs="Arial"/>
          <w:sz w:val="20"/>
        </w:rPr>
      </w:pPr>
    </w:p>
    <w:p w14:paraId="3F94F14E" w14:textId="1B3DAB7B" w:rsidR="003558D7" w:rsidRPr="0088338F" w:rsidRDefault="003558D7" w:rsidP="003558D7">
      <w:pPr>
        <w:numPr>
          <w:ilvl w:val="0"/>
          <w:numId w:val="10"/>
        </w:numPr>
        <w:tabs>
          <w:tab w:val="clear" w:pos="900"/>
          <w:tab w:val="left" w:pos="851"/>
        </w:tabs>
        <w:ind w:left="851" w:hanging="284"/>
        <w:jc w:val="both"/>
        <w:rPr>
          <w:rFonts w:ascii="Arial" w:hAnsi="Arial" w:cs="Arial"/>
          <w:sz w:val="20"/>
        </w:rPr>
      </w:pPr>
      <w:r w:rsidRPr="0088338F">
        <w:rPr>
          <w:rFonts w:ascii="Arial" w:hAnsi="Arial" w:cs="Arial"/>
          <w:sz w:val="20"/>
        </w:rPr>
        <w:t xml:space="preserve">pri projektovom financovaní: nehnuteľnosti, existujúce a budúce pohľadávky vyplývajúce z kúpnych a iných zmlúv na predaj, resp. </w:t>
      </w:r>
      <w:r w:rsidR="00F91E0A" w:rsidRPr="0088338F">
        <w:rPr>
          <w:rFonts w:ascii="Arial" w:hAnsi="Arial" w:cs="Arial"/>
          <w:sz w:val="20"/>
        </w:rPr>
        <w:t xml:space="preserve">na </w:t>
      </w:r>
      <w:r w:rsidRPr="0088338F">
        <w:rPr>
          <w:rFonts w:ascii="Arial" w:hAnsi="Arial" w:cs="Arial"/>
          <w:sz w:val="20"/>
        </w:rPr>
        <w:t xml:space="preserve">prenájom nehnuteľnosti, </w:t>
      </w:r>
      <w:r w:rsidR="00F91E0A" w:rsidRPr="0088338F">
        <w:rPr>
          <w:rFonts w:ascii="Arial" w:hAnsi="Arial" w:cs="Arial"/>
          <w:sz w:val="20"/>
        </w:rPr>
        <w:t>cenné papiere (najmä akcie)</w:t>
      </w:r>
    </w:p>
    <w:p w14:paraId="4FFA214A" w14:textId="77777777" w:rsidR="003558D7" w:rsidRPr="0088338F" w:rsidRDefault="003558D7" w:rsidP="003558D7">
      <w:pPr>
        <w:numPr>
          <w:ilvl w:val="0"/>
          <w:numId w:val="10"/>
        </w:numPr>
        <w:tabs>
          <w:tab w:val="clear" w:pos="900"/>
          <w:tab w:val="left" w:pos="851"/>
        </w:tabs>
        <w:ind w:left="851" w:hanging="284"/>
        <w:jc w:val="both"/>
        <w:rPr>
          <w:rFonts w:ascii="Arial" w:hAnsi="Arial" w:cs="Arial"/>
          <w:sz w:val="20"/>
        </w:rPr>
      </w:pPr>
      <w:r w:rsidRPr="0088338F">
        <w:rPr>
          <w:rFonts w:ascii="Arial" w:hAnsi="Arial" w:cs="Arial"/>
          <w:sz w:val="20"/>
        </w:rPr>
        <w:t>pri prevádzkovom financovaní: pohľadávky z obchodného styku,</w:t>
      </w:r>
    </w:p>
    <w:p w14:paraId="49DBF98F" w14:textId="77777777" w:rsidR="003558D7" w:rsidRPr="0088338F" w:rsidRDefault="003558D7" w:rsidP="003558D7">
      <w:pPr>
        <w:numPr>
          <w:ilvl w:val="0"/>
          <w:numId w:val="10"/>
        </w:numPr>
        <w:tabs>
          <w:tab w:val="clear" w:pos="900"/>
          <w:tab w:val="left" w:pos="851"/>
        </w:tabs>
        <w:ind w:left="851" w:hanging="284"/>
        <w:jc w:val="both"/>
        <w:rPr>
          <w:rFonts w:ascii="Arial" w:hAnsi="Arial" w:cs="Arial"/>
          <w:sz w:val="20"/>
        </w:rPr>
      </w:pPr>
      <w:r w:rsidRPr="0088338F">
        <w:rPr>
          <w:rFonts w:ascii="Arial" w:hAnsi="Arial" w:cs="Arial"/>
          <w:sz w:val="20"/>
        </w:rPr>
        <w:t xml:space="preserve">pri investičnom financovaní: hnuteľný a nehnuteľný majetok klienta, </w:t>
      </w:r>
    </w:p>
    <w:p w14:paraId="3B8022DA" w14:textId="77777777" w:rsidR="003558D7" w:rsidRPr="0088338F" w:rsidRDefault="003558D7" w:rsidP="003558D7">
      <w:pPr>
        <w:numPr>
          <w:ilvl w:val="0"/>
          <w:numId w:val="10"/>
        </w:numPr>
        <w:tabs>
          <w:tab w:val="clear" w:pos="900"/>
          <w:tab w:val="left" w:pos="851"/>
        </w:tabs>
        <w:ind w:left="851" w:hanging="284"/>
        <w:jc w:val="both"/>
        <w:rPr>
          <w:rFonts w:ascii="Arial" w:hAnsi="Arial" w:cs="Arial"/>
          <w:sz w:val="20"/>
        </w:rPr>
      </w:pPr>
      <w:r w:rsidRPr="0088338F">
        <w:rPr>
          <w:rFonts w:ascii="Arial" w:hAnsi="Arial" w:cs="Arial"/>
          <w:sz w:val="20"/>
        </w:rPr>
        <w:t>pri úveroch poskytovaných fyzickým osobám: nehnuteľnosti, cenné papiere, osobné ručenie.</w:t>
      </w:r>
    </w:p>
    <w:p w14:paraId="3DC5E840" w14:textId="77777777" w:rsidR="00843AC1" w:rsidRPr="0088338F" w:rsidRDefault="00843AC1" w:rsidP="009C090C">
      <w:pPr>
        <w:pStyle w:val="NormlnyArial"/>
      </w:pPr>
    </w:p>
    <w:p w14:paraId="4580A70B" w14:textId="77777777" w:rsidR="008E6838" w:rsidRPr="0088338F" w:rsidRDefault="008E6838">
      <w:pPr>
        <w:rPr>
          <w:rFonts w:ascii="Arial" w:hAnsi="Arial" w:cs="Arial"/>
          <w:b/>
          <w:sz w:val="20"/>
        </w:rPr>
      </w:pPr>
      <w:r w:rsidRPr="0088338F">
        <w:rPr>
          <w:b/>
        </w:rPr>
        <w:br w:type="page"/>
      </w:r>
    </w:p>
    <w:p w14:paraId="6C6BBE08" w14:textId="45D2DD4D" w:rsidR="0047215C" w:rsidRPr="0088338F" w:rsidRDefault="0047215C" w:rsidP="009C090C">
      <w:pPr>
        <w:pStyle w:val="NormlnyArial"/>
      </w:pPr>
      <w:r w:rsidRPr="0088338F">
        <w:rPr>
          <w:b/>
        </w:rPr>
        <w:lastRenderedPageBreak/>
        <w:t xml:space="preserve">Predpoklady pri odhade realizovateľnej hodnoty kolaterálu </w:t>
      </w:r>
    </w:p>
    <w:p w14:paraId="7C66307D" w14:textId="77777777" w:rsidR="0047215C" w:rsidRPr="0088338F" w:rsidRDefault="0047215C" w:rsidP="009C090C">
      <w:pPr>
        <w:jc w:val="both"/>
        <w:rPr>
          <w:rFonts w:ascii="Arial" w:hAnsi="Arial" w:cs="Arial"/>
          <w:sz w:val="20"/>
          <w:u w:val="single"/>
        </w:rPr>
      </w:pPr>
    </w:p>
    <w:p w14:paraId="775F27B7" w14:textId="77777777" w:rsidR="003558D7" w:rsidRPr="0088338F" w:rsidRDefault="003558D7" w:rsidP="003558D7">
      <w:pPr>
        <w:jc w:val="both"/>
        <w:rPr>
          <w:rFonts w:ascii="Arial" w:hAnsi="Arial" w:cs="Arial"/>
          <w:sz w:val="20"/>
        </w:rPr>
      </w:pPr>
      <w:r w:rsidRPr="0088338F">
        <w:rPr>
          <w:rFonts w:ascii="Arial" w:hAnsi="Arial" w:cs="Arial"/>
          <w:sz w:val="20"/>
        </w:rPr>
        <w:t>Hodnota kolaterálu sa určí nasledovne:</w:t>
      </w:r>
    </w:p>
    <w:p w14:paraId="18837E82" w14:textId="77777777" w:rsidR="003558D7" w:rsidRPr="0088338F" w:rsidRDefault="003558D7" w:rsidP="003558D7">
      <w:pPr>
        <w:jc w:val="both"/>
        <w:rPr>
          <w:rFonts w:ascii="Arial" w:hAnsi="Arial" w:cs="Arial"/>
          <w:sz w:val="20"/>
        </w:rPr>
      </w:pPr>
    </w:p>
    <w:p w14:paraId="079911C7" w14:textId="77777777" w:rsidR="003558D7" w:rsidRPr="0088338F" w:rsidRDefault="003558D7" w:rsidP="003558D7">
      <w:pPr>
        <w:numPr>
          <w:ilvl w:val="0"/>
          <w:numId w:val="10"/>
        </w:numPr>
        <w:tabs>
          <w:tab w:val="clear" w:pos="900"/>
          <w:tab w:val="left" w:pos="851"/>
        </w:tabs>
        <w:ind w:left="851" w:hanging="284"/>
        <w:jc w:val="both"/>
        <w:rPr>
          <w:rFonts w:ascii="Arial" w:hAnsi="Arial" w:cs="Arial"/>
          <w:sz w:val="20"/>
        </w:rPr>
      </w:pPr>
      <w:r w:rsidRPr="0088338F">
        <w:rPr>
          <w:rFonts w:ascii="Arial" w:hAnsi="Arial" w:cs="Arial"/>
          <w:sz w:val="20"/>
        </w:rPr>
        <w:t>pri nehnuteľnostiach a hnuteľnom majetku sa určí na základe porovnania všeobecnej hodnoty majetku zo znaleckého posudku a z reálnej hodnoty majetku zistenej expertným odhadom; v prípade rozdielu medzi týmito dvoma hodnotami sa za hodnotu nehnuteľnosti považuje nižšia z oboch hodnôt,</w:t>
      </w:r>
    </w:p>
    <w:p w14:paraId="164BBCE3" w14:textId="77777777" w:rsidR="003558D7" w:rsidRPr="0088338F" w:rsidRDefault="003558D7" w:rsidP="003558D7">
      <w:pPr>
        <w:numPr>
          <w:ilvl w:val="0"/>
          <w:numId w:val="10"/>
        </w:numPr>
        <w:tabs>
          <w:tab w:val="clear" w:pos="900"/>
          <w:tab w:val="left" w:pos="851"/>
        </w:tabs>
        <w:ind w:left="851" w:hanging="284"/>
        <w:jc w:val="both"/>
        <w:rPr>
          <w:rFonts w:ascii="Arial" w:hAnsi="Arial" w:cs="Arial"/>
          <w:sz w:val="20"/>
        </w:rPr>
      </w:pPr>
      <w:r w:rsidRPr="0088338F">
        <w:rPr>
          <w:rFonts w:ascii="Arial" w:hAnsi="Arial" w:cs="Arial"/>
          <w:sz w:val="20"/>
        </w:rPr>
        <w:t>pri zabezpečení hotovosťou sa hodnota kolaterálu rovná nominálnej hodnote pohľadávky z vkladu, pri cenných papieroch sa vychádza z trhových cien, aktuálnych v deň oceňovania,</w:t>
      </w:r>
    </w:p>
    <w:p w14:paraId="729A0FC7" w14:textId="77777777" w:rsidR="003558D7" w:rsidRPr="0088338F" w:rsidRDefault="003558D7" w:rsidP="003558D7">
      <w:pPr>
        <w:numPr>
          <w:ilvl w:val="0"/>
          <w:numId w:val="10"/>
        </w:numPr>
        <w:tabs>
          <w:tab w:val="clear" w:pos="900"/>
          <w:tab w:val="left" w:pos="851"/>
        </w:tabs>
        <w:ind w:left="851" w:hanging="284"/>
        <w:jc w:val="both"/>
        <w:rPr>
          <w:rFonts w:ascii="Arial" w:hAnsi="Arial" w:cs="Arial"/>
          <w:sz w:val="20"/>
        </w:rPr>
      </w:pPr>
      <w:r w:rsidRPr="0088338F">
        <w:rPr>
          <w:rFonts w:ascii="Arial" w:hAnsi="Arial" w:cs="Arial"/>
          <w:sz w:val="20"/>
        </w:rPr>
        <w:t>pri pohľadávkach, zmenkách</w:t>
      </w:r>
      <w:r w:rsidR="00E25709" w:rsidRPr="0088338F">
        <w:rPr>
          <w:rFonts w:ascii="Arial" w:hAnsi="Arial" w:cs="Arial"/>
          <w:sz w:val="20"/>
        </w:rPr>
        <w:t>, ručení</w:t>
      </w:r>
      <w:r w:rsidRPr="0088338F">
        <w:rPr>
          <w:rFonts w:ascii="Arial" w:hAnsi="Arial" w:cs="Arial"/>
          <w:sz w:val="20"/>
        </w:rPr>
        <w:t xml:space="preserve"> a pristúpení k záväzku treťou osobou sa určí z ich nominálnej hodnoty po zohľadnení ratingu poddlžníka, dlžníka zo zmenky, resp. ručiteľa.</w:t>
      </w:r>
    </w:p>
    <w:p w14:paraId="1B5C31CB" w14:textId="77777777" w:rsidR="003558D7" w:rsidRPr="0088338F" w:rsidRDefault="003558D7" w:rsidP="003558D7">
      <w:pPr>
        <w:jc w:val="both"/>
        <w:rPr>
          <w:rFonts w:ascii="Arial" w:hAnsi="Arial" w:cs="Arial"/>
          <w:sz w:val="20"/>
        </w:rPr>
      </w:pPr>
    </w:p>
    <w:p w14:paraId="3AEEECD2" w14:textId="77777777" w:rsidR="003558D7" w:rsidRPr="0088338F" w:rsidRDefault="003558D7" w:rsidP="003558D7">
      <w:pPr>
        <w:jc w:val="both"/>
        <w:rPr>
          <w:rFonts w:ascii="Arial" w:hAnsi="Arial" w:cs="Arial"/>
          <w:sz w:val="20"/>
        </w:rPr>
      </w:pPr>
      <w:r w:rsidRPr="0088338F">
        <w:rPr>
          <w:rFonts w:ascii="Arial" w:hAnsi="Arial" w:cs="Arial"/>
          <w:sz w:val="20"/>
        </w:rPr>
        <w:t>Bankou akceptovaná hodnota je hodnota, ktorá vznikne prenásobením hodnoty kolaterálu príslušným koeficientom vyjadrujúcim stupeň akceptácie konkrétneho druhu kolaterálu. Získaná hodnota je súčasne východiskovou hodnotou pre výpočet tvorby opravných položiek.</w:t>
      </w:r>
    </w:p>
    <w:p w14:paraId="7B001757" w14:textId="77777777" w:rsidR="003558D7" w:rsidRPr="0088338F" w:rsidRDefault="003558D7" w:rsidP="003558D7">
      <w:pPr>
        <w:jc w:val="both"/>
        <w:rPr>
          <w:rFonts w:ascii="Arial" w:hAnsi="Arial" w:cs="Arial"/>
          <w:b/>
          <w:sz w:val="20"/>
        </w:rPr>
      </w:pPr>
    </w:p>
    <w:p w14:paraId="4D8C69C1" w14:textId="1BD03A60" w:rsidR="003558D7" w:rsidRPr="0088338F" w:rsidRDefault="003558D7" w:rsidP="003558D7">
      <w:pPr>
        <w:jc w:val="both"/>
        <w:rPr>
          <w:rFonts w:ascii="Arial" w:hAnsi="Arial" w:cs="Arial"/>
          <w:sz w:val="20"/>
        </w:rPr>
      </w:pPr>
      <w:r w:rsidRPr="0088338F">
        <w:rPr>
          <w:rFonts w:ascii="Arial" w:hAnsi="Arial" w:cs="Arial"/>
          <w:sz w:val="20"/>
        </w:rPr>
        <w:t xml:space="preserve">Hodnota kolaterálov sa pravidelne aktualizuje v závislosti od druhu kolaterálu podľa predpokladanej volatility jeho ceny, ale minimálne 1-krát ročne. V prípade poklesu hodnoty kolaterálu banka požaduje doplnenie zabezpečenia úverového obchodu, resp. realizuje iné opatrenia na zníženie kreditného rizika. </w:t>
      </w:r>
    </w:p>
    <w:p w14:paraId="1EC1E26A" w14:textId="77777777" w:rsidR="003558D7" w:rsidRPr="0088338F" w:rsidRDefault="003558D7" w:rsidP="003558D7">
      <w:pPr>
        <w:pStyle w:val="NormlnyArial"/>
      </w:pPr>
    </w:p>
    <w:p w14:paraId="0F17B30F" w14:textId="77777777" w:rsidR="003558D7" w:rsidRPr="0088338F" w:rsidRDefault="003558D7" w:rsidP="003558D7">
      <w:pPr>
        <w:pStyle w:val="NormlnyArial"/>
      </w:pPr>
      <w:r w:rsidRPr="0088338F">
        <w:rPr>
          <w:szCs w:val="20"/>
        </w:rPr>
        <w:t xml:space="preserve">Suma, ktorú môže banka získať pri realizácii kolaterálu, sa môže líšiť od hodnoty, ktorú banka akceptovala na účely riadenia úverového rizika, pričom tento rozdiel môže byť významný. </w:t>
      </w:r>
    </w:p>
    <w:p w14:paraId="1B3D02EB" w14:textId="77777777" w:rsidR="001969D4" w:rsidRPr="0088338F" w:rsidRDefault="001969D4" w:rsidP="009C090C">
      <w:pPr>
        <w:pStyle w:val="NormlnyArial"/>
        <w:rPr>
          <w:b/>
        </w:rPr>
      </w:pPr>
    </w:p>
    <w:p w14:paraId="0EA5BB41" w14:textId="1C005B2B" w:rsidR="002E14CC" w:rsidRPr="0088338F" w:rsidRDefault="002E14CC" w:rsidP="009C090C">
      <w:pPr>
        <w:pStyle w:val="NormlnyArial"/>
      </w:pPr>
      <w:r w:rsidRPr="0088338F">
        <w:rPr>
          <w:b/>
        </w:rPr>
        <w:t>Kreditná kvalita aktív, ktoré nie sú vykázané ako znehodnotené</w:t>
      </w:r>
    </w:p>
    <w:p w14:paraId="070D63D7" w14:textId="54B6543D" w:rsidR="0048475C" w:rsidRPr="0088338F" w:rsidRDefault="0048475C" w:rsidP="009C090C">
      <w:pPr>
        <w:pStyle w:val="NormlnyArial"/>
      </w:pPr>
      <w:r w:rsidRPr="0088338F">
        <w:t>Prehľad kvality finančných aktív vyplývajúcich z úverových obchodov, ktoré nie sú vykázané ako znehodnotené</w:t>
      </w:r>
      <w:r w:rsidR="00AE7C7C" w:rsidRPr="0088338F">
        <w:t>:</w:t>
      </w:r>
    </w:p>
    <w:p w14:paraId="27BBDD90" w14:textId="77777777" w:rsidR="0048475C" w:rsidRPr="0088338F" w:rsidRDefault="0048475C" w:rsidP="009C090C">
      <w:pPr>
        <w:pStyle w:val="NormlnyArial"/>
      </w:pPr>
    </w:p>
    <w:bookmarkStart w:id="2197" w:name="_MON_1264586579"/>
    <w:bookmarkStart w:id="2198" w:name="_MON_1264587404"/>
    <w:bookmarkStart w:id="2199" w:name="_MON_1265729041"/>
    <w:bookmarkStart w:id="2200" w:name="_MON_1266496407"/>
    <w:bookmarkStart w:id="2201" w:name="_MON_1267519980"/>
    <w:bookmarkStart w:id="2202" w:name="_MON_1288373486"/>
    <w:bookmarkStart w:id="2203" w:name="_MON_1289462013"/>
    <w:bookmarkStart w:id="2204" w:name="_MON_1297071788"/>
    <w:bookmarkStart w:id="2205" w:name="_MON_1297072301"/>
    <w:bookmarkStart w:id="2206" w:name="_MON_1297074782"/>
    <w:bookmarkStart w:id="2207" w:name="_MON_1297186502"/>
    <w:bookmarkStart w:id="2208" w:name="_MON_1297501214"/>
    <w:bookmarkStart w:id="2209" w:name="_MON_1322832592"/>
    <w:bookmarkStart w:id="2210" w:name="_MON_1328535438"/>
    <w:bookmarkStart w:id="2211" w:name="_MON_1355312452"/>
    <w:bookmarkStart w:id="2212" w:name="_MON_1359533144"/>
    <w:bookmarkStart w:id="2213" w:name="_MON_1360497403"/>
    <w:bookmarkStart w:id="2214" w:name="_MON_1389893663"/>
    <w:bookmarkStart w:id="2215" w:name="_MON_1390825478"/>
    <w:bookmarkStart w:id="2216" w:name="_MON_1422097264"/>
    <w:bookmarkStart w:id="2217" w:name="_MON_1422423716"/>
    <w:bookmarkStart w:id="2218" w:name="_MON_1422423793"/>
    <w:bookmarkStart w:id="2219" w:name="_MON_1453640492"/>
    <w:bookmarkStart w:id="2220" w:name="_MON_1454216537"/>
    <w:bookmarkStart w:id="2221" w:name="_MON_1454309026"/>
    <w:bookmarkStart w:id="2222" w:name="_MON_1454309043"/>
    <w:bookmarkStart w:id="2223" w:name="_MON_1264511722"/>
    <w:bookmarkStart w:id="2224" w:name="OLE_LINK2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Start w:id="2225" w:name="_MON_1264511841"/>
    <w:bookmarkEnd w:id="2225"/>
    <w:p w14:paraId="6D2FA877" w14:textId="7E9CAF30" w:rsidR="002E14CC" w:rsidRPr="0088338F" w:rsidRDefault="008477E4" w:rsidP="009C090C">
      <w:pPr>
        <w:pStyle w:val="NormlnyArial"/>
      </w:pPr>
      <w:r w:rsidRPr="0088338F">
        <w:object w:dxaOrig="9590" w:dyaOrig="2274" w14:anchorId="3F01537A">
          <v:shape id="_x0000_i1097" type="#_x0000_t75" style="width:447pt;height:117pt" o:ole="" o:preferrelative="f">
            <v:imagedata r:id="rId174" o:title=""/>
            <o:lock v:ext="edit" aspectratio="f"/>
          </v:shape>
          <o:OLEObject Type="Embed" ProgID="Excel.Sheet.8" ShapeID="_x0000_i1097" DrawAspect="Content" ObjectID="_1551591598" r:id="rId175"/>
        </w:object>
      </w:r>
      <w:bookmarkEnd w:id="2224"/>
    </w:p>
    <w:p w14:paraId="585EBE30" w14:textId="77777777" w:rsidR="002415C9" w:rsidRPr="0088338F" w:rsidRDefault="002415C9" w:rsidP="009C090C">
      <w:pPr>
        <w:pStyle w:val="NormlnyArial"/>
        <w:rPr>
          <w:sz w:val="16"/>
          <w:szCs w:val="16"/>
        </w:rPr>
      </w:pPr>
    </w:p>
    <w:p w14:paraId="45B31313" w14:textId="2FA54B11" w:rsidR="002E14CC" w:rsidRPr="0088338F" w:rsidRDefault="00BD4AC6" w:rsidP="009C090C">
      <w:pPr>
        <w:pStyle w:val="NormlnyArial"/>
      </w:pPr>
      <w:r w:rsidRPr="0088338F">
        <w:object w:dxaOrig="9590" w:dyaOrig="2274" w14:anchorId="0727FD77">
          <v:shape id="_x0000_i1098" type="#_x0000_t75" style="width:447pt;height:117pt" o:ole="" o:preferrelative="f">
            <v:imagedata r:id="rId176" o:title=""/>
            <o:lock v:ext="edit" aspectratio="f"/>
          </v:shape>
          <o:OLEObject Type="Embed" ProgID="Excel.Sheet.8" ShapeID="_x0000_i1098" DrawAspect="Content" ObjectID="_1551591599" r:id="rId177"/>
        </w:object>
      </w:r>
    </w:p>
    <w:p w14:paraId="01EF9F5D" w14:textId="77777777" w:rsidR="008713FA" w:rsidRPr="0088338F" w:rsidRDefault="008713FA" w:rsidP="009C090C">
      <w:pPr>
        <w:pStyle w:val="NormlnyArial"/>
      </w:pPr>
    </w:p>
    <w:p w14:paraId="60C175FF" w14:textId="25982796" w:rsidR="006D5B34" w:rsidRPr="0088338F" w:rsidRDefault="006D5B34" w:rsidP="006D5B34">
      <w:pPr>
        <w:jc w:val="both"/>
        <w:rPr>
          <w:rFonts w:ascii="Arial" w:hAnsi="Arial" w:cs="Arial"/>
          <w:sz w:val="20"/>
        </w:rPr>
      </w:pPr>
      <w:r w:rsidRPr="0088338F">
        <w:rPr>
          <w:rFonts w:ascii="Arial" w:hAnsi="Arial" w:cs="Arial"/>
          <w:sz w:val="20"/>
        </w:rPr>
        <w:t>V portfóliu úverovaných klientov banky podľa stavu k 31. decembru 201</w:t>
      </w:r>
      <w:r w:rsidR="00DB7EDE" w:rsidRPr="0088338F">
        <w:rPr>
          <w:rFonts w:ascii="Arial" w:hAnsi="Arial" w:cs="Arial"/>
          <w:sz w:val="20"/>
        </w:rPr>
        <w:t>6</w:t>
      </w:r>
      <w:r w:rsidRPr="0088338F">
        <w:rPr>
          <w:rFonts w:ascii="Arial" w:hAnsi="Arial" w:cs="Arial"/>
          <w:sz w:val="20"/>
        </w:rPr>
        <w:t xml:space="preserve"> a k 31. decembru 201</w:t>
      </w:r>
      <w:r w:rsidR="00DB7EDE" w:rsidRPr="0088338F">
        <w:rPr>
          <w:rFonts w:ascii="Arial" w:hAnsi="Arial" w:cs="Arial"/>
          <w:sz w:val="20"/>
        </w:rPr>
        <w:t>5</w:t>
      </w:r>
      <w:r w:rsidRPr="0088338F">
        <w:rPr>
          <w:rFonts w:ascii="Arial" w:hAnsi="Arial" w:cs="Arial"/>
          <w:sz w:val="20"/>
        </w:rPr>
        <w:t xml:space="preserve"> nie sú klienti s prideleným externým ratingom.</w:t>
      </w:r>
    </w:p>
    <w:p w14:paraId="78D88EDA" w14:textId="77777777" w:rsidR="00D60D0A" w:rsidRPr="0088338F" w:rsidRDefault="00D60D0A" w:rsidP="009C090C">
      <w:pPr>
        <w:jc w:val="both"/>
        <w:rPr>
          <w:rFonts w:ascii="Arial" w:hAnsi="Arial" w:cs="Arial"/>
          <w:sz w:val="20"/>
        </w:rPr>
      </w:pPr>
    </w:p>
    <w:p w14:paraId="3B73F29B" w14:textId="77777777" w:rsidR="008E6838" w:rsidRPr="0088338F" w:rsidRDefault="008E6838">
      <w:pPr>
        <w:rPr>
          <w:rFonts w:ascii="Arial" w:hAnsi="Arial" w:cs="Arial"/>
          <w:sz w:val="20"/>
        </w:rPr>
      </w:pPr>
      <w:r w:rsidRPr="0088338F">
        <w:br w:type="page"/>
      </w:r>
    </w:p>
    <w:p w14:paraId="26ED4286" w14:textId="73952331" w:rsidR="00AE7C7C" w:rsidRPr="0088338F" w:rsidRDefault="00AE7C7C" w:rsidP="00AE7C7C">
      <w:pPr>
        <w:pStyle w:val="NormlnyArial"/>
      </w:pPr>
      <w:r w:rsidRPr="0088338F">
        <w:lastRenderedPageBreak/>
        <w:t xml:space="preserve">Prehľad </w:t>
      </w:r>
      <w:r w:rsidR="00AA47B1" w:rsidRPr="0088338F">
        <w:t xml:space="preserve">externého </w:t>
      </w:r>
      <w:r w:rsidRPr="0088338F">
        <w:t>ratingu cenných papierov, ktoré nie sú vykázané ako omeškané ani znehodnotené, agentúry Moody's Investors Service</w:t>
      </w:r>
      <w:r w:rsidR="007F6370" w:rsidRPr="0088338F">
        <w:t xml:space="preserve"> k 31. decembru 201</w:t>
      </w:r>
      <w:r w:rsidR="00DB7EDE" w:rsidRPr="0088338F">
        <w:t>6</w:t>
      </w:r>
      <w:r w:rsidRPr="0088338F">
        <w:t>:</w:t>
      </w:r>
    </w:p>
    <w:p w14:paraId="771DD5EF" w14:textId="77777777" w:rsidR="00AE7C7C" w:rsidRPr="0088338F" w:rsidRDefault="00AE7C7C" w:rsidP="009C090C">
      <w:pPr>
        <w:jc w:val="both"/>
        <w:rPr>
          <w:rFonts w:ascii="Arial" w:hAnsi="Arial" w:cs="Arial"/>
          <w:sz w:val="20"/>
        </w:rPr>
      </w:pPr>
    </w:p>
    <w:bookmarkStart w:id="2226" w:name="_MON_1390886834"/>
    <w:bookmarkStart w:id="2227" w:name="_MON_1390887105"/>
    <w:bookmarkStart w:id="2228" w:name="_MON_1422097321"/>
    <w:bookmarkStart w:id="2229" w:name="_MON_1422265453"/>
    <w:bookmarkStart w:id="2230" w:name="_MON_1422265512"/>
    <w:bookmarkStart w:id="2231" w:name="_MON_1453640667"/>
    <w:bookmarkStart w:id="2232" w:name="_MON_1454225628"/>
    <w:bookmarkStart w:id="2233" w:name="_MON_1454225838"/>
    <w:bookmarkStart w:id="2234" w:name="_MON_1454309691"/>
    <w:bookmarkStart w:id="2235" w:name="_MON_1454310090"/>
    <w:bookmarkStart w:id="2236" w:name="_MON_1361172703"/>
    <w:bookmarkStart w:id="2237" w:name="_MON_1361172732"/>
    <w:bookmarkStart w:id="2238" w:name="_MON_1361172749"/>
    <w:bookmarkStart w:id="2239" w:name="_MON_1361172890"/>
    <w:bookmarkStart w:id="2240" w:name="_MON_1361173084"/>
    <w:bookmarkStart w:id="2241" w:name="_MON_1361173106"/>
    <w:bookmarkStart w:id="2242" w:name="_MON_1361173985"/>
    <w:bookmarkStart w:id="2243" w:name="_MON_1361188957"/>
    <w:bookmarkStart w:id="2244" w:name="_MON_1389893836"/>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Start w:id="2245" w:name="_MON_1390885805"/>
    <w:bookmarkEnd w:id="2245"/>
    <w:p w14:paraId="4EA5280F" w14:textId="6FF9A51B" w:rsidR="00AE7C7C" w:rsidRPr="0088338F" w:rsidRDefault="00D3191C" w:rsidP="009C090C">
      <w:pPr>
        <w:jc w:val="both"/>
        <w:rPr>
          <w:rFonts w:ascii="Arial" w:hAnsi="Arial" w:cs="Arial"/>
          <w:sz w:val="20"/>
        </w:rPr>
      </w:pPr>
      <w:r w:rsidRPr="0088338F">
        <w:object w:dxaOrig="9590" w:dyaOrig="3015" w14:anchorId="2EE58E6E">
          <v:shape id="_x0000_i1099" type="#_x0000_t75" style="width:447pt;height:155.4pt" o:ole="" o:preferrelative="f">
            <v:imagedata r:id="rId178" o:title=""/>
            <o:lock v:ext="edit" aspectratio="f"/>
          </v:shape>
          <o:OLEObject Type="Embed" ProgID="Excel.Sheet.8" ShapeID="_x0000_i1099" DrawAspect="Content" ObjectID="_1551591600" r:id="rId179"/>
        </w:object>
      </w:r>
    </w:p>
    <w:p w14:paraId="30FEB991" w14:textId="77777777" w:rsidR="00AE7C7C" w:rsidRPr="0088338F" w:rsidRDefault="00AE7C7C" w:rsidP="009C090C">
      <w:pPr>
        <w:jc w:val="both"/>
        <w:rPr>
          <w:rFonts w:ascii="Arial" w:hAnsi="Arial" w:cs="Arial"/>
          <w:sz w:val="20"/>
        </w:rPr>
      </w:pPr>
    </w:p>
    <w:p w14:paraId="3721BBA7" w14:textId="1F7944AF" w:rsidR="00AE7C7C" w:rsidRPr="0088338F" w:rsidRDefault="004B35A7" w:rsidP="009C090C">
      <w:pPr>
        <w:jc w:val="both"/>
        <w:rPr>
          <w:rFonts w:ascii="Arial" w:hAnsi="Arial" w:cs="Arial"/>
          <w:sz w:val="20"/>
        </w:rPr>
      </w:pPr>
      <w:r w:rsidRPr="0088338F">
        <w:rPr>
          <w:rFonts w:ascii="Arial" w:hAnsi="Arial" w:cs="Arial"/>
          <w:sz w:val="20"/>
        </w:rPr>
        <w:t xml:space="preserve">Z cenných papierov bez ratingu agentúry Moody's Investors Service majú rating agentúry Standard </w:t>
      </w:r>
      <w:r w:rsidR="0077475D" w:rsidRPr="0088338F">
        <w:rPr>
          <w:rFonts w:ascii="Arial" w:hAnsi="Arial" w:cs="Arial"/>
          <w:sz w:val="20"/>
        </w:rPr>
        <w:t>&amp;</w:t>
      </w:r>
      <w:r w:rsidRPr="0088338F">
        <w:rPr>
          <w:rFonts w:ascii="Arial" w:hAnsi="Arial" w:cs="Arial"/>
          <w:sz w:val="20"/>
        </w:rPr>
        <w:t xml:space="preserve"> Poor’s A- cenné papiere v reálnej hodnote </w:t>
      </w:r>
      <w:r w:rsidR="000436DE" w:rsidRPr="0088338F">
        <w:rPr>
          <w:rFonts w:ascii="Arial" w:hAnsi="Arial" w:cs="Arial"/>
          <w:sz w:val="20"/>
        </w:rPr>
        <w:t xml:space="preserve">8 </w:t>
      </w:r>
      <w:r w:rsidR="00040FF0" w:rsidRPr="0088338F">
        <w:rPr>
          <w:rFonts w:ascii="Arial" w:hAnsi="Arial" w:cs="Arial"/>
          <w:sz w:val="20"/>
        </w:rPr>
        <w:t>429</w:t>
      </w:r>
      <w:r w:rsidRPr="0088338F">
        <w:rPr>
          <w:rFonts w:ascii="Arial" w:hAnsi="Arial" w:cs="Arial"/>
          <w:sz w:val="20"/>
        </w:rPr>
        <w:t xml:space="preserve"> tis. EUR.</w:t>
      </w:r>
    </w:p>
    <w:p w14:paraId="2428D68D" w14:textId="77777777" w:rsidR="00DB6D70" w:rsidRPr="0088338F" w:rsidRDefault="00DB6D70" w:rsidP="009C090C">
      <w:pPr>
        <w:jc w:val="both"/>
        <w:rPr>
          <w:rFonts w:ascii="Arial" w:hAnsi="Arial" w:cs="Arial"/>
          <w:sz w:val="20"/>
        </w:rPr>
      </w:pPr>
    </w:p>
    <w:bookmarkStart w:id="2246" w:name="_MON_1390886527"/>
    <w:bookmarkStart w:id="2247" w:name="_MON_1390886559"/>
    <w:bookmarkStart w:id="2248" w:name="_MON_1422097362"/>
    <w:bookmarkStart w:id="2249" w:name="_MON_1422265669"/>
    <w:bookmarkStart w:id="2250" w:name="_MON_1422265624"/>
    <w:bookmarkStart w:id="2251" w:name="_MON_1453640679"/>
    <w:bookmarkStart w:id="2252" w:name="_MON_1454226143"/>
    <w:bookmarkStart w:id="2253" w:name="_MON_1454309761"/>
    <w:bookmarkStart w:id="2254" w:name="_MON_1454310102"/>
    <w:bookmarkStart w:id="2255" w:name="_MON_1361173660"/>
    <w:bookmarkStart w:id="2256" w:name="_MON_1361173773"/>
    <w:bookmarkStart w:id="2257" w:name="_MON_1361173995"/>
    <w:bookmarkStart w:id="2258" w:name="_MON_1361188985"/>
    <w:bookmarkStart w:id="2259" w:name="_MON_1389893851"/>
    <w:bookmarkStart w:id="2260" w:name="_MON_1390886201"/>
    <w:bookmarkStart w:id="2261" w:name="_MON_1390886237"/>
    <w:bookmarkStart w:id="2262" w:name="_MON_1390886253"/>
    <w:bookmarkStart w:id="2263" w:name="_MON_1390886351"/>
    <w:bookmarkStart w:id="2264" w:name="_MON_1422097350"/>
    <w:bookmarkStart w:id="2265" w:name="_MON_1422265572"/>
    <w:bookmarkStart w:id="2266" w:name="_MON_1453640688"/>
    <w:bookmarkStart w:id="2267" w:name="_MON_1454226241"/>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Start w:id="2268" w:name="_MON_1454309793"/>
    <w:bookmarkEnd w:id="2268"/>
    <w:p w14:paraId="7170198F" w14:textId="1C18060C" w:rsidR="00053BB7" w:rsidRPr="0088338F" w:rsidRDefault="00AA2DBF" w:rsidP="009C090C">
      <w:pPr>
        <w:jc w:val="both"/>
        <w:rPr>
          <w:rFonts w:ascii="Arial" w:hAnsi="Arial" w:cs="Arial"/>
          <w:sz w:val="20"/>
        </w:rPr>
      </w:pPr>
      <w:r w:rsidRPr="0088338F">
        <w:object w:dxaOrig="9590" w:dyaOrig="1780" w14:anchorId="585798D8">
          <v:shape id="_x0000_i1100" type="#_x0000_t75" style="width:447pt;height:91.2pt" o:ole="" o:preferrelative="f">
            <v:imagedata r:id="rId180" o:title=""/>
            <o:lock v:ext="edit" aspectratio="f"/>
          </v:shape>
          <o:OLEObject Type="Embed" ProgID="Excel.Sheet.8" ShapeID="_x0000_i1100" DrawAspect="Content" ObjectID="_1551591601" r:id="rId181"/>
        </w:object>
      </w:r>
    </w:p>
    <w:p w14:paraId="74917A75" w14:textId="77777777" w:rsidR="004B35A7" w:rsidRPr="0088338F" w:rsidRDefault="004B35A7" w:rsidP="009C090C">
      <w:pPr>
        <w:jc w:val="both"/>
        <w:rPr>
          <w:rFonts w:ascii="Arial" w:hAnsi="Arial" w:cs="Arial"/>
          <w:sz w:val="20"/>
        </w:rPr>
      </w:pPr>
    </w:p>
    <w:p w14:paraId="0C13CFEC" w14:textId="724F47CD" w:rsidR="004B5C9D" w:rsidRPr="0088338F" w:rsidRDefault="004B5C9D" w:rsidP="004B5C9D">
      <w:pPr>
        <w:jc w:val="both"/>
        <w:rPr>
          <w:rFonts w:ascii="Arial" w:hAnsi="Arial" w:cs="Arial"/>
          <w:sz w:val="20"/>
        </w:rPr>
      </w:pPr>
      <w:r w:rsidRPr="0088338F">
        <w:rPr>
          <w:rFonts w:ascii="Arial" w:hAnsi="Arial" w:cs="Arial"/>
          <w:sz w:val="20"/>
        </w:rPr>
        <w:t>Z cenných papierov bez ratingu agentúry Moody's Investors Service majú rating agentúry Standard &amp; Poor’s BB</w:t>
      </w:r>
      <w:r w:rsidR="00AA2DBF" w:rsidRPr="0088338F">
        <w:rPr>
          <w:rFonts w:ascii="Arial" w:hAnsi="Arial" w:cs="Arial"/>
          <w:sz w:val="20"/>
        </w:rPr>
        <w:t>+</w:t>
      </w:r>
      <w:r w:rsidRPr="0088338F">
        <w:rPr>
          <w:rFonts w:ascii="Arial" w:hAnsi="Arial" w:cs="Arial"/>
          <w:sz w:val="20"/>
        </w:rPr>
        <w:t xml:space="preserve"> cenné papiere v amortizovanej hodnote </w:t>
      </w:r>
      <w:r w:rsidR="00AA2DBF" w:rsidRPr="0088338F">
        <w:rPr>
          <w:rFonts w:ascii="Arial" w:hAnsi="Arial" w:cs="Arial"/>
          <w:sz w:val="20"/>
        </w:rPr>
        <w:t>12 645</w:t>
      </w:r>
      <w:r w:rsidRPr="0088338F">
        <w:rPr>
          <w:rFonts w:ascii="Arial" w:hAnsi="Arial" w:cs="Arial"/>
          <w:sz w:val="20"/>
        </w:rPr>
        <w:t xml:space="preserve"> tis. EUR.</w:t>
      </w:r>
    </w:p>
    <w:p w14:paraId="6F1C361F" w14:textId="77777777" w:rsidR="00053BB7" w:rsidRPr="0088338F" w:rsidRDefault="00053BB7" w:rsidP="009C090C">
      <w:pPr>
        <w:jc w:val="both"/>
        <w:rPr>
          <w:rFonts w:ascii="Arial" w:hAnsi="Arial" w:cs="Arial"/>
          <w:sz w:val="20"/>
        </w:rPr>
      </w:pPr>
    </w:p>
    <w:p w14:paraId="2855359B" w14:textId="5E72D278" w:rsidR="007F6370" w:rsidRPr="0088338F" w:rsidRDefault="007F6370" w:rsidP="007F6370">
      <w:pPr>
        <w:pStyle w:val="NormlnyArial"/>
      </w:pPr>
      <w:r w:rsidRPr="0088338F">
        <w:t xml:space="preserve">Prehľad </w:t>
      </w:r>
      <w:r w:rsidR="00AA47B1" w:rsidRPr="0088338F">
        <w:t xml:space="preserve">externého </w:t>
      </w:r>
      <w:r w:rsidRPr="0088338F">
        <w:t>ratingu cenných papierov, ktoré nie sú vykázané ako omeškané ani znehodnotené, agentúry Moody's Investors Service k 31. decembru 20</w:t>
      </w:r>
      <w:r w:rsidR="007A1EC4" w:rsidRPr="0088338F">
        <w:t>1</w:t>
      </w:r>
      <w:r w:rsidR="00DB7EDE" w:rsidRPr="0088338F">
        <w:t>5</w:t>
      </w:r>
      <w:r w:rsidRPr="0088338F">
        <w:t>:</w:t>
      </w:r>
    </w:p>
    <w:p w14:paraId="67F635FA" w14:textId="09B84890" w:rsidR="007F6370" w:rsidRPr="0088338F" w:rsidRDefault="006A668D" w:rsidP="007B54B7">
      <w:pPr>
        <w:tabs>
          <w:tab w:val="left" w:pos="6465"/>
        </w:tabs>
        <w:jc w:val="both"/>
        <w:rPr>
          <w:rFonts w:ascii="Arial" w:hAnsi="Arial" w:cs="Arial"/>
          <w:sz w:val="20"/>
        </w:rPr>
      </w:pPr>
      <w:r w:rsidRPr="0088338F">
        <w:rPr>
          <w:rFonts w:ascii="Arial" w:hAnsi="Arial" w:cs="Arial"/>
          <w:sz w:val="20"/>
        </w:rPr>
        <w:tab/>
      </w:r>
    </w:p>
    <w:p w14:paraId="6B819A46" w14:textId="1F9E7A9E" w:rsidR="007F6370" w:rsidRPr="0088338F" w:rsidRDefault="00E418E5" w:rsidP="009C090C">
      <w:pPr>
        <w:jc w:val="both"/>
        <w:rPr>
          <w:rFonts w:ascii="Arial" w:hAnsi="Arial" w:cs="Arial"/>
          <w:sz w:val="20"/>
        </w:rPr>
      </w:pPr>
      <w:r w:rsidRPr="0088338F">
        <w:object w:dxaOrig="9590" w:dyaOrig="3015" w14:anchorId="54609338">
          <v:shape id="_x0000_i1101" type="#_x0000_t75" style="width:447pt;height:155.4pt" o:ole="" o:preferrelative="f">
            <v:imagedata r:id="rId182" o:title=""/>
            <o:lock v:ext="edit" aspectratio="f"/>
          </v:shape>
          <o:OLEObject Type="Embed" ProgID="Excel.Sheet.8" ShapeID="_x0000_i1101" DrawAspect="Content" ObjectID="_1551591602" r:id="rId183"/>
        </w:object>
      </w:r>
    </w:p>
    <w:p w14:paraId="66086331" w14:textId="77777777" w:rsidR="00AE7C7C" w:rsidRPr="0088338F" w:rsidRDefault="00AE7C7C" w:rsidP="009C090C">
      <w:pPr>
        <w:jc w:val="both"/>
        <w:rPr>
          <w:rFonts w:ascii="Arial" w:hAnsi="Arial" w:cs="Arial"/>
          <w:sz w:val="20"/>
        </w:rPr>
      </w:pPr>
    </w:p>
    <w:p w14:paraId="6AD24110" w14:textId="2F5C04EA" w:rsidR="006554D8" w:rsidRPr="0088338F" w:rsidRDefault="006554D8" w:rsidP="006554D8">
      <w:pPr>
        <w:jc w:val="both"/>
        <w:rPr>
          <w:rFonts w:ascii="Arial" w:hAnsi="Arial" w:cs="Arial"/>
          <w:sz w:val="20"/>
        </w:rPr>
      </w:pPr>
      <w:r w:rsidRPr="0088338F">
        <w:rPr>
          <w:rFonts w:ascii="Arial" w:hAnsi="Arial" w:cs="Arial"/>
          <w:sz w:val="20"/>
        </w:rPr>
        <w:t xml:space="preserve">Z cenných papierov bez ratingu agentúry Moody's Investors Service majú rating agentúry Standard &amp; Poor’s A - cenné papiere v reálnej hodnote </w:t>
      </w:r>
      <w:r w:rsidR="00C34F5E" w:rsidRPr="0088338F">
        <w:rPr>
          <w:rFonts w:ascii="Arial" w:hAnsi="Arial" w:cs="Arial"/>
          <w:sz w:val="20"/>
        </w:rPr>
        <w:t>8 509</w:t>
      </w:r>
      <w:r w:rsidRPr="0088338F">
        <w:rPr>
          <w:rFonts w:ascii="Arial" w:hAnsi="Arial" w:cs="Arial"/>
          <w:sz w:val="20"/>
        </w:rPr>
        <w:t xml:space="preserve"> tis. EUR.</w:t>
      </w:r>
    </w:p>
    <w:p w14:paraId="50DE61FF" w14:textId="6FC82D2C" w:rsidR="007F6370" w:rsidRPr="0088338F" w:rsidRDefault="00912335" w:rsidP="009C090C">
      <w:pPr>
        <w:jc w:val="both"/>
        <w:rPr>
          <w:rFonts w:ascii="Arial" w:hAnsi="Arial" w:cs="Arial"/>
          <w:sz w:val="20"/>
        </w:rPr>
      </w:pPr>
      <w:r w:rsidRPr="0088338F">
        <w:object w:dxaOrig="9590" w:dyaOrig="1285" w14:anchorId="1891741B">
          <v:shape id="_x0000_i1102" type="#_x0000_t75" style="width:447pt;height:66pt" o:ole="" o:preferrelative="f">
            <v:imagedata r:id="rId184" o:title=""/>
            <o:lock v:ext="edit" aspectratio="f"/>
          </v:shape>
          <o:OLEObject Type="Embed" ProgID="Excel.Sheet.8" ShapeID="_x0000_i1102" DrawAspect="Content" ObjectID="_1551591603" r:id="rId185"/>
        </w:object>
      </w:r>
    </w:p>
    <w:p w14:paraId="7E6248E7" w14:textId="77777777" w:rsidR="00AA47B1" w:rsidRPr="0088338F" w:rsidRDefault="00AA47B1" w:rsidP="009C090C">
      <w:pPr>
        <w:jc w:val="both"/>
        <w:rPr>
          <w:rFonts w:ascii="Arial" w:hAnsi="Arial" w:cs="Arial"/>
          <w:sz w:val="20"/>
        </w:rPr>
      </w:pPr>
    </w:p>
    <w:p w14:paraId="6501D27C" w14:textId="77DB0A1D" w:rsidR="00AA47B1" w:rsidRPr="0088338F" w:rsidRDefault="00DD5941" w:rsidP="009C090C">
      <w:pPr>
        <w:jc w:val="both"/>
        <w:rPr>
          <w:rFonts w:ascii="Arial" w:hAnsi="Arial" w:cs="Arial"/>
          <w:sz w:val="20"/>
        </w:rPr>
      </w:pPr>
      <w:r w:rsidRPr="0088338F">
        <w:object w:dxaOrig="9590" w:dyaOrig="2521" w14:anchorId="6E0B3C18">
          <v:shape id="_x0000_i1103" type="#_x0000_t75" style="width:447pt;height:129.6pt" o:ole="" o:preferrelative="f">
            <v:imagedata r:id="rId186" o:title=""/>
            <o:lock v:ext="edit" aspectratio="f"/>
          </v:shape>
          <o:OLEObject Type="Embed" ProgID="Excel.Sheet.8" ShapeID="_x0000_i1103" DrawAspect="Content" ObjectID="_1551591604" r:id="rId187"/>
        </w:object>
      </w:r>
    </w:p>
    <w:p w14:paraId="11F4BDAF" w14:textId="77777777" w:rsidR="00AA47B1" w:rsidRPr="0088338F" w:rsidRDefault="00AA47B1" w:rsidP="009C090C">
      <w:pPr>
        <w:jc w:val="both"/>
        <w:rPr>
          <w:rFonts w:ascii="Arial" w:hAnsi="Arial" w:cs="Arial"/>
          <w:sz w:val="20"/>
        </w:rPr>
      </w:pPr>
    </w:p>
    <w:p w14:paraId="751DA5DB" w14:textId="30E96F00" w:rsidR="006554D8" w:rsidRPr="0088338F" w:rsidRDefault="006554D8" w:rsidP="006554D8">
      <w:pPr>
        <w:jc w:val="both"/>
        <w:rPr>
          <w:rFonts w:ascii="Arial" w:hAnsi="Arial" w:cs="Arial"/>
          <w:sz w:val="20"/>
        </w:rPr>
      </w:pPr>
      <w:r w:rsidRPr="0088338F">
        <w:rPr>
          <w:rFonts w:ascii="Arial" w:hAnsi="Arial" w:cs="Arial"/>
          <w:sz w:val="20"/>
        </w:rPr>
        <w:t xml:space="preserve">Z cenných papierov bez ratingu agentúry Moody's Investors Service majú rating agentúry Standard &amp; Poor’s BB cenné papiere v amortizovanej hodnote </w:t>
      </w:r>
      <w:r w:rsidR="00C34F5E" w:rsidRPr="0088338F">
        <w:rPr>
          <w:rFonts w:ascii="Arial" w:hAnsi="Arial" w:cs="Arial"/>
          <w:sz w:val="20"/>
        </w:rPr>
        <w:t>2 550</w:t>
      </w:r>
      <w:r w:rsidRPr="0088338F">
        <w:rPr>
          <w:rFonts w:ascii="Arial" w:hAnsi="Arial" w:cs="Arial"/>
          <w:sz w:val="20"/>
        </w:rPr>
        <w:t xml:space="preserve"> tis. EUR.</w:t>
      </w:r>
    </w:p>
    <w:p w14:paraId="0D70C71C" w14:textId="77777777" w:rsidR="00685159" w:rsidRPr="0088338F" w:rsidRDefault="00685159" w:rsidP="009C090C">
      <w:pPr>
        <w:jc w:val="both"/>
        <w:rPr>
          <w:rFonts w:ascii="Arial" w:hAnsi="Arial" w:cs="Arial"/>
          <w:sz w:val="20"/>
        </w:rPr>
      </w:pPr>
    </w:p>
    <w:p w14:paraId="3D9B4C82" w14:textId="0BAE8DF6" w:rsidR="005775E3" w:rsidRPr="0088338F" w:rsidRDefault="005775E3" w:rsidP="009C090C">
      <w:pPr>
        <w:jc w:val="both"/>
        <w:rPr>
          <w:rFonts w:ascii="Arial" w:hAnsi="Arial" w:cs="Arial"/>
          <w:b/>
          <w:sz w:val="20"/>
        </w:rPr>
      </w:pPr>
      <w:r w:rsidRPr="0088338F">
        <w:rPr>
          <w:rFonts w:ascii="Arial" w:hAnsi="Arial" w:cs="Arial"/>
          <w:b/>
          <w:sz w:val="20"/>
        </w:rPr>
        <w:t xml:space="preserve">Metóda stanovenia ratingu </w:t>
      </w:r>
      <w:r w:rsidR="00154447" w:rsidRPr="0088338F">
        <w:rPr>
          <w:rFonts w:ascii="Arial" w:hAnsi="Arial" w:cs="Arial"/>
          <w:b/>
          <w:sz w:val="20"/>
        </w:rPr>
        <w:t>klienta</w:t>
      </w:r>
    </w:p>
    <w:p w14:paraId="09D2F710" w14:textId="77777777" w:rsidR="00685159" w:rsidRPr="0088338F" w:rsidRDefault="00685159" w:rsidP="00685159">
      <w:pPr>
        <w:jc w:val="both"/>
        <w:rPr>
          <w:rFonts w:ascii="Arial" w:hAnsi="Arial" w:cs="Arial"/>
          <w:sz w:val="20"/>
        </w:rPr>
      </w:pPr>
      <w:r w:rsidRPr="0088338F">
        <w:rPr>
          <w:rFonts w:ascii="Arial" w:hAnsi="Arial" w:cs="Arial"/>
          <w:sz w:val="20"/>
        </w:rPr>
        <w:t xml:space="preserve">Banka stanovuje interný rating korporátnych klientov na základe finančnej a nefinančnej analýzy klienta. </w:t>
      </w:r>
    </w:p>
    <w:p w14:paraId="7D5CE080" w14:textId="77777777" w:rsidR="00685159" w:rsidRPr="0088338F" w:rsidRDefault="00685159" w:rsidP="00685159">
      <w:pPr>
        <w:jc w:val="both"/>
        <w:rPr>
          <w:rFonts w:ascii="Arial" w:hAnsi="Arial" w:cs="Arial"/>
          <w:b/>
          <w:sz w:val="20"/>
        </w:rPr>
      </w:pPr>
    </w:p>
    <w:p w14:paraId="6F1D7779" w14:textId="77777777" w:rsidR="00685159" w:rsidRPr="0088338F" w:rsidRDefault="00685159" w:rsidP="00685159">
      <w:pPr>
        <w:jc w:val="both"/>
        <w:rPr>
          <w:rFonts w:ascii="Arial" w:hAnsi="Arial" w:cs="Arial"/>
          <w:sz w:val="20"/>
        </w:rPr>
      </w:pPr>
      <w:r w:rsidRPr="0088338F">
        <w:rPr>
          <w:rFonts w:ascii="Arial" w:hAnsi="Arial" w:cs="Arial"/>
          <w:sz w:val="20"/>
        </w:rPr>
        <w:t>Finančná analýza spočíva v zhodnotení jednotlivých položiek aktív, záväzkov, nákladov a výnosov klienta, v zreálnení majetku a vlastného imania klienta a následnom výpočte základných finančných ukazovateľov (zadlženosť, likvidita, rentabilita, aktivita a peňažné toky). Finančná situácia klienta sa hodnotí písmenami: a (veľmi dobrá), b (dobrá), c (podpriemerná) a d (zlá).</w:t>
      </w:r>
    </w:p>
    <w:p w14:paraId="587D493A" w14:textId="77777777" w:rsidR="00685159" w:rsidRPr="0088338F" w:rsidRDefault="00685159" w:rsidP="00685159">
      <w:pPr>
        <w:jc w:val="both"/>
        <w:rPr>
          <w:rFonts w:ascii="Arial" w:hAnsi="Arial" w:cs="Arial"/>
          <w:sz w:val="20"/>
        </w:rPr>
      </w:pPr>
    </w:p>
    <w:p w14:paraId="596F220A" w14:textId="77777777" w:rsidR="00685159" w:rsidRPr="0088338F" w:rsidRDefault="00685159" w:rsidP="00685159">
      <w:pPr>
        <w:jc w:val="both"/>
        <w:rPr>
          <w:rFonts w:ascii="Arial" w:hAnsi="Arial" w:cs="Arial"/>
          <w:sz w:val="20"/>
        </w:rPr>
      </w:pPr>
      <w:r w:rsidRPr="0088338F">
        <w:rPr>
          <w:rFonts w:ascii="Arial" w:hAnsi="Arial" w:cs="Arial"/>
          <w:sz w:val="20"/>
        </w:rPr>
        <w:t>Pri nefinančnej analýze sa hodnotí platobná disciplína klienta, využívanie služieb banky, odvetvie podnikania, postavenie na trhu, zabezpečenie odbytu, úroveň manažmentu a stav výkonnosti firmy.</w:t>
      </w:r>
    </w:p>
    <w:p w14:paraId="1779D006" w14:textId="77777777" w:rsidR="00685159" w:rsidRPr="0088338F" w:rsidRDefault="00685159" w:rsidP="00685159">
      <w:pPr>
        <w:jc w:val="both"/>
        <w:rPr>
          <w:rFonts w:ascii="Arial" w:hAnsi="Arial" w:cs="Arial"/>
          <w:sz w:val="20"/>
        </w:rPr>
      </w:pPr>
    </w:p>
    <w:p w14:paraId="372E295B" w14:textId="77777777" w:rsidR="00685159" w:rsidRPr="0088338F" w:rsidRDefault="00685159" w:rsidP="00685159">
      <w:pPr>
        <w:jc w:val="both"/>
        <w:rPr>
          <w:rFonts w:ascii="Arial" w:hAnsi="Arial" w:cs="Arial"/>
          <w:sz w:val="20"/>
        </w:rPr>
      </w:pPr>
      <w:r w:rsidRPr="0088338F">
        <w:rPr>
          <w:rFonts w:ascii="Arial" w:hAnsi="Arial" w:cs="Arial"/>
          <w:sz w:val="20"/>
        </w:rPr>
        <w:t>Výsledkom nefinančnej analýzy je zaradenie klienta do jednej zo štyroch tried obchodného rizika:</w:t>
      </w:r>
    </w:p>
    <w:p w14:paraId="00F56439" w14:textId="77777777" w:rsidR="00685159" w:rsidRPr="0088338F" w:rsidRDefault="00685159" w:rsidP="00685159">
      <w:pPr>
        <w:jc w:val="both"/>
        <w:rPr>
          <w:rFonts w:ascii="Arial" w:hAnsi="Arial" w:cs="Arial"/>
          <w:sz w:val="20"/>
        </w:rPr>
      </w:pPr>
      <w:r w:rsidRPr="0088338F">
        <w:rPr>
          <w:rFonts w:ascii="Arial" w:hAnsi="Arial" w:cs="Arial"/>
          <w:sz w:val="20"/>
        </w:rPr>
        <w:t>1 (nízke riziko), 2 (primerané riziko), 3 (prevažujúce riziko) alebo 4 (vysoké riziko).</w:t>
      </w:r>
    </w:p>
    <w:p w14:paraId="6112A237" w14:textId="77777777" w:rsidR="00685159" w:rsidRPr="0088338F" w:rsidRDefault="00685159" w:rsidP="00685159">
      <w:pPr>
        <w:jc w:val="both"/>
        <w:rPr>
          <w:rFonts w:ascii="Arial" w:hAnsi="Arial" w:cs="Arial"/>
          <w:sz w:val="20"/>
        </w:rPr>
      </w:pPr>
    </w:p>
    <w:p w14:paraId="22E60B13" w14:textId="77777777" w:rsidR="00685159" w:rsidRPr="0088338F" w:rsidRDefault="00685159" w:rsidP="00685159">
      <w:pPr>
        <w:jc w:val="both"/>
        <w:rPr>
          <w:rFonts w:ascii="Arial" w:hAnsi="Arial" w:cs="Arial"/>
          <w:sz w:val="20"/>
        </w:rPr>
      </w:pPr>
      <w:r w:rsidRPr="0088338F">
        <w:rPr>
          <w:rFonts w:ascii="Arial" w:hAnsi="Arial" w:cs="Arial"/>
          <w:sz w:val="20"/>
        </w:rPr>
        <w:t xml:space="preserve">Kombináciou výsledku finančnej a nefinančnej analýzy sa stanoví interný rating klienta ako A, B, C alebo D. </w:t>
      </w:r>
    </w:p>
    <w:p w14:paraId="6E4396D7" w14:textId="77777777" w:rsidR="00685159" w:rsidRPr="0088338F" w:rsidRDefault="00685159" w:rsidP="00685159">
      <w:pPr>
        <w:jc w:val="both"/>
        <w:rPr>
          <w:rFonts w:ascii="Arial" w:hAnsi="Arial" w:cs="Arial"/>
          <w:sz w:val="20"/>
        </w:rPr>
      </w:pPr>
    </w:p>
    <w:p w14:paraId="03A9B13B" w14:textId="77777777" w:rsidR="00104CF2" w:rsidRPr="0088338F" w:rsidRDefault="00685159" w:rsidP="00685159">
      <w:pPr>
        <w:jc w:val="both"/>
        <w:rPr>
          <w:rFonts w:ascii="Arial" w:hAnsi="Arial" w:cs="Arial"/>
          <w:sz w:val="20"/>
        </w:rPr>
      </w:pPr>
      <w:r w:rsidRPr="0088338F">
        <w:rPr>
          <w:rFonts w:ascii="Arial" w:hAnsi="Arial" w:cs="Arial"/>
          <w:sz w:val="20"/>
        </w:rPr>
        <w:t xml:space="preserve">Finančnú a nefinančnú situáciu klientov banka </w:t>
      </w:r>
      <w:r w:rsidR="00D24AD8" w:rsidRPr="0088338F">
        <w:rPr>
          <w:rFonts w:ascii="Arial" w:hAnsi="Arial" w:cs="Arial"/>
          <w:sz w:val="20"/>
        </w:rPr>
        <w:t xml:space="preserve">priebežne </w:t>
      </w:r>
      <w:r w:rsidRPr="0088338F">
        <w:rPr>
          <w:rFonts w:ascii="Arial" w:hAnsi="Arial" w:cs="Arial"/>
          <w:sz w:val="20"/>
        </w:rPr>
        <w:t>monitoruje a ratingové hodnotenie klientov</w:t>
      </w:r>
    </w:p>
    <w:p w14:paraId="319786B2" w14:textId="2000D657" w:rsidR="00685159" w:rsidRPr="0088338F" w:rsidRDefault="00685159" w:rsidP="00685159">
      <w:pPr>
        <w:jc w:val="both"/>
        <w:rPr>
          <w:rFonts w:ascii="Arial" w:hAnsi="Arial" w:cs="Arial"/>
          <w:sz w:val="20"/>
        </w:rPr>
      </w:pPr>
      <w:r w:rsidRPr="0088338F">
        <w:rPr>
          <w:rFonts w:ascii="Arial" w:hAnsi="Arial" w:cs="Arial"/>
          <w:sz w:val="20"/>
        </w:rPr>
        <w:t xml:space="preserve"> pravidelne aktualizuje v štvrťročných intervaloch.</w:t>
      </w:r>
    </w:p>
    <w:p w14:paraId="1D1723B9" w14:textId="77777777" w:rsidR="005768EF" w:rsidRPr="0088338F" w:rsidRDefault="005768EF" w:rsidP="009C090C">
      <w:pPr>
        <w:jc w:val="both"/>
        <w:rPr>
          <w:rFonts w:ascii="Arial" w:hAnsi="Arial" w:cs="Arial"/>
          <w:b/>
          <w:sz w:val="20"/>
        </w:rPr>
      </w:pPr>
    </w:p>
    <w:p w14:paraId="1BC22782" w14:textId="77777777" w:rsidR="005775E3" w:rsidRPr="0088338F" w:rsidRDefault="005775E3" w:rsidP="009C090C">
      <w:pPr>
        <w:jc w:val="both"/>
        <w:rPr>
          <w:rFonts w:ascii="Arial" w:hAnsi="Arial" w:cs="Arial"/>
          <w:b/>
          <w:sz w:val="20"/>
        </w:rPr>
      </w:pPr>
      <w:r w:rsidRPr="0088338F">
        <w:rPr>
          <w:rFonts w:ascii="Arial" w:hAnsi="Arial" w:cs="Arial"/>
          <w:b/>
          <w:sz w:val="20"/>
        </w:rPr>
        <w:t>Veková štruktúra finančných aktív po splatnosti, ktoré sú vykázané ako</w:t>
      </w:r>
      <w:r w:rsidR="006A0B29" w:rsidRPr="0088338F">
        <w:rPr>
          <w:rFonts w:ascii="Arial" w:hAnsi="Arial" w:cs="Arial"/>
          <w:b/>
          <w:sz w:val="20"/>
        </w:rPr>
        <w:t xml:space="preserve"> neznehodnotené</w:t>
      </w:r>
      <w:r w:rsidRPr="0088338F">
        <w:rPr>
          <w:rFonts w:ascii="Arial" w:hAnsi="Arial" w:cs="Arial"/>
          <w:b/>
          <w:sz w:val="20"/>
        </w:rPr>
        <w:t xml:space="preserve"> </w:t>
      </w:r>
    </w:p>
    <w:p w14:paraId="02725BA8" w14:textId="380BC142" w:rsidR="00E56140" w:rsidRPr="0088338F" w:rsidRDefault="00E56140" w:rsidP="00E56140">
      <w:pPr>
        <w:jc w:val="both"/>
        <w:rPr>
          <w:rFonts w:ascii="Arial" w:hAnsi="Arial" w:cs="Arial"/>
          <w:sz w:val="20"/>
        </w:rPr>
      </w:pPr>
      <w:r w:rsidRPr="0088338F">
        <w:rPr>
          <w:rFonts w:ascii="Arial" w:hAnsi="Arial" w:cs="Arial"/>
          <w:sz w:val="20"/>
        </w:rPr>
        <w:t>K 31. decembru 201</w:t>
      </w:r>
      <w:r w:rsidR="003C305B" w:rsidRPr="0088338F">
        <w:rPr>
          <w:rFonts w:ascii="Arial" w:hAnsi="Arial" w:cs="Arial"/>
          <w:sz w:val="20"/>
        </w:rPr>
        <w:t>6</w:t>
      </w:r>
      <w:r w:rsidRPr="0088338F">
        <w:rPr>
          <w:rFonts w:ascii="Arial" w:hAnsi="Arial" w:cs="Arial"/>
          <w:sz w:val="20"/>
        </w:rPr>
        <w:t xml:space="preserve"> banka vykazovala po splatnosti pohľadávky z úverových obchodov vykazované v kategórii neznehodnotených v celkovom objeme </w:t>
      </w:r>
      <w:r w:rsidR="00D24AD8" w:rsidRPr="0088338F">
        <w:rPr>
          <w:rFonts w:ascii="Arial" w:hAnsi="Arial" w:cs="Arial"/>
          <w:sz w:val="20"/>
        </w:rPr>
        <w:t>483</w:t>
      </w:r>
      <w:r w:rsidRPr="0088338F">
        <w:rPr>
          <w:rFonts w:ascii="Arial" w:hAnsi="Arial" w:cs="Arial"/>
          <w:sz w:val="20"/>
        </w:rPr>
        <w:t xml:space="preserve"> tis</w:t>
      </w:r>
      <w:r w:rsidR="006F7A24" w:rsidRPr="0088338F">
        <w:rPr>
          <w:rFonts w:ascii="Arial" w:hAnsi="Arial" w:cs="Arial"/>
          <w:sz w:val="20"/>
        </w:rPr>
        <w:t xml:space="preserve">. EUR, z toho istina v objeme </w:t>
      </w:r>
      <w:r w:rsidR="00D24AD8" w:rsidRPr="0088338F">
        <w:rPr>
          <w:rFonts w:ascii="Arial" w:hAnsi="Arial" w:cs="Arial"/>
          <w:sz w:val="20"/>
        </w:rPr>
        <w:t>408</w:t>
      </w:r>
      <w:r w:rsidRPr="0088338F">
        <w:rPr>
          <w:rFonts w:ascii="Arial" w:hAnsi="Arial" w:cs="Arial"/>
          <w:sz w:val="20"/>
        </w:rPr>
        <w:t xml:space="preserve"> tis. EUR </w:t>
      </w:r>
      <w:r w:rsidR="00A147A6" w:rsidRPr="0088338F">
        <w:rPr>
          <w:rFonts w:ascii="Arial" w:hAnsi="Arial" w:cs="Arial"/>
          <w:sz w:val="20"/>
        </w:rPr>
        <w:t>(</w:t>
      </w:r>
      <w:r w:rsidR="006F7A24" w:rsidRPr="0088338F">
        <w:rPr>
          <w:rFonts w:ascii="Arial" w:hAnsi="Arial" w:cs="Arial"/>
          <w:sz w:val="20"/>
        </w:rPr>
        <w:t>z </w:t>
      </w:r>
      <w:r w:rsidRPr="0088338F">
        <w:rPr>
          <w:rFonts w:ascii="Arial" w:hAnsi="Arial" w:cs="Arial"/>
          <w:sz w:val="20"/>
        </w:rPr>
        <w:t xml:space="preserve">toho istina v objeme </w:t>
      </w:r>
      <w:r w:rsidR="00D24AD8" w:rsidRPr="0088338F">
        <w:rPr>
          <w:rFonts w:ascii="Arial" w:hAnsi="Arial" w:cs="Arial"/>
          <w:sz w:val="20"/>
        </w:rPr>
        <w:t>0</w:t>
      </w:r>
      <w:r w:rsidRPr="0088338F">
        <w:rPr>
          <w:rFonts w:ascii="Arial" w:hAnsi="Arial" w:cs="Arial"/>
          <w:sz w:val="20"/>
        </w:rPr>
        <w:t xml:space="preserve"> tis. EUR s lehotou omeškania </w:t>
      </w:r>
      <w:r w:rsidR="00A147A6" w:rsidRPr="0088338F">
        <w:rPr>
          <w:rFonts w:ascii="Arial" w:hAnsi="Arial" w:cs="Arial"/>
          <w:sz w:val="20"/>
        </w:rPr>
        <w:t>nad 30 dní</w:t>
      </w:r>
      <w:r w:rsidRPr="0088338F">
        <w:rPr>
          <w:rFonts w:ascii="Arial" w:hAnsi="Arial" w:cs="Arial"/>
          <w:sz w:val="20"/>
        </w:rPr>
        <w:t xml:space="preserve">) a príslušenstvo v objeme </w:t>
      </w:r>
      <w:r w:rsidR="00D24AD8" w:rsidRPr="0088338F">
        <w:rPr>
          <w:rFonts w:ascii="Arial" w:hAnsi="Arial" w:cs="Arial"/>
          <w:sz w:val="20"/>
        </w:rPr>
        <w:t>75</w:t>
      </w:r>
      <w:r w:rsidRPr="0088338F">
        <w:rPr>
          <w:rFonts w:ascii="Arial" w:hAnsi="Arial" w:cs="Arial"/>
          <w:sz w:val="20"/>
        </w:rPr>
        <w:t xml:space="preserve"> tis. EUR </w:t>
      </w:r>
      <w:r w:rsidR="00A147A6" w:rsidRPr="0088338F">
        <w:rPr>
          <w:rFonts w:ascii="Arial" w:hAnsi="Arial" w:cs="Arial"/>
          <w:sz w:val="20"/>
        </w:rPr>
        <w:t xml:space="preserve">(z toho príslušenstvo v objeme </w:t>
      </w:r>
      <w:r w:rsidR="00D24AD8" w:rsidRPr="0088338F">
        <w:rPr>
          <w:rFonts w:ascii="Arial" w:hAnsi="Arial" w:cs="Arial"/>
          <w:sz w:val="20"/>
        </w:rPr>
        <w:t>1</w:t>
      </w:r>
      <w:r w:rsidR="00A147A6" w:rsidRPr="0088338F">
        <w:rPr>
          <w:rFonts w:ascii="Arial" w:hAnsi="Arial" w:cs="Arial"/>
          <w:sz w:val="20"/>
        </w:rPr>
        <w:t xml:space="preserve"> tis. EUR </w:t>
      </w:r>
      <w:r w:rsidRPr="0088338F">
        <w:rPr>
          <w:rFonts w:ascii="Arial" w:hAnsi="Arial" w:cs="Arial"/>
          <w:sz w:val="20"/>
        </w:rPr>
        <w:t xml:space="preserve">s lehotou omeškania </w:t>
      </w:r>
      <w:r w:rsidR="00A147A6" w:rsidRPr="0088338F">
        <w:rPr>
          <w:rFonts w:ascii="Arial" w:hAnsi="Arial" w:cs="Arial"/>
          <w:sz w:val="20"/>
        </w:rPr>
        <w:t>nad 30 dní)</w:t>
      </w:r>
      <w:r w:rsidRPr="0088338F">
        <w:rPr>
          <w:rFonts w:ascii="Arial" w:hAnsi="Arial" w:cs="Arial"/>
          <w:sz w:val="20"/>
        </w:rPr>
        <w:t>.</w:t>
      </w:r>
    </w:p>
    <w:p w14:paraId="7832DCB2" w14:textId="77777777" w:rsidR="000712A2" w:rsidRPr="0088338F" w:rsidRDefault="000712A2" w:rsidP="009C090C">
      <w:pPr>
        <w:jc w:val="both"/>
        <w:rPr>
          <w:rFonts w:ascii="Arial" w:hAnsi="Arial" w:cs="Arial"/>
          <w:sz w:val="20"/>
        </w:rPr>
      </w:pPr>
    </w:p>
    <w:p w14:paraId="6D99D863" w14:textId="522D93CB" w:rsidR="005775E3" w:rsidRPr="0088338F" w:rsidRDefault="003C305B" w:rsidP="009C090C">
      <w:pPr>
        <w:jc w:val="both"/>
        <w:rPr>
          <w:rFonts w:ascii="Arial" w:hAnsi="Arial" w:cs="Arial"/>
          <w:sz w:val="20"/>
        </w:rPr>
      </w:pPr>
      <w:r w:rsidRPr="0088338F">
        <w:rPr>
          <w:rFonts w:ascii="Arial" w:hAnsi="Arial" w:cs="Arial"/>
          <w:sz w:val="20"/>
        </w:rPr>
        <w:t>K 31. decembru 2015 banka vykazovala po splatnosti pohľadávky z úverových obchodov vykazované v kategórii neznehodnotených v celkovom objeme 2 274 tis. EUR, z toho istina v objeme   2 059 tis. EUR (z toho istina v objeme 804 tis. EUR s lehotou omeškania nad 30 dní) a príslušenstvo v objeme 215 tis. EUR (z toho príslušenstvo v objeme 75 tis. EUR s lehotou omeškania nad 30 dní).</w:t>
      </w:r>
    </w:p>
    <w:p w14:paraId="46482D4B" w14:textId="0CD65522" w:rsidR="00104514" w:rsidRPr="0088338F" w:rsidRDefault="00104514">
      <w:pPr>
        <w:rPr>
          <w:rFonts w:ascii="Arial" w:hAnsi="Arial" w:cs="Arial"/>
          <w:sz w:val="20"/>
        </w:rPr>
      </w:pPr>
    </w:p>
    <w:p w14:paraId="420F4E8B" w14:textId="77777777" w:rsidR="007A0C5E" w:rsidRPr="0088338F" w:rsidRDefault="007A0C5E" w:rsidP="007A0C5E">
      <w:pPr>
        <w:pStyle w:val="NormlnyArial"/>
        <w:rPr>
          <w:b/>
        </w:rPr>
      </w:pPr>
      <w:r w:rsidRPr="0088338F">
        <w:rPr>
          <w:b/>
        </w:rPr>
        <w:t>Reštrukturalizované aktíva</w:t>
      </w:r>
    </w:p>
    <w:p w14:paraId="6044F8A5" w14:textId="3B4F1D1A" w:rsidR="007A0C5E" w:rsidRPr="0088338F" w:rsidRDefault="007A0C5E" w:rsidP="007A0C5E">
      <w:pPr>
        <w:pStyle w:val="NormlnyArial"/>
      </w:pPr>
      <w:r w:rsidRPr="0088338F">
        <w:t>V zmysle interných noriem banky sú za reštrukturalizované aktíva považované tie finančné aktíva banky, pri ktorých bolo identifikované určité riziko, v dôsledku ktorého by mohlo dôjsť k znehodnoteniu aktíva</w:t>
      </w:r>
      <w:r w:rsidR="004A33B8" w:rsidRPr="0088338F">
        <w:t>,</w:t>
      </w:r>
      <w:r w:rsidRPr="0088338F">
        <w:t xml:space="preserve"> resp. k vykázaniu omeškania so splatením pohľadávky banky,</w:t>
      </w:r>
      <w:r w:rsidR="0023079C" w:rsidRPr="0088338F">
        <w:t xml:space="preserve"> t.j. banka identifikovala finančné ťažkosti klienta,</w:t>
      </w:r>
      <w:r w:rsidRPr="0088338F">
        <w:t xml:space="preserve"> avšak na základe vykonaných analýz banka pristúpila k zmene dohodnutých podmienok </w:t>
      </w:r>
      <w:r w:rsidR="0023079C" w:rsidRPr="0088338F">
        <w:t xml:space="preserve">úverového obchodu </w:t>
      </w:r>
      <w:r w:rsidRPr="0088338F">
        <w:t>a pokračovala v úverovom vzťahu.</w:t>
      </w:r>
    </w:p>
    <w:p w14:paraId="5103BD17" w14:textId="77777777" w:rsidR="00D60D0A" w:rsidRPr="0088338F" w:rsidRDefault="00D60D0A" w:rsidP="00BD6F72">
      <w:pPr>
        <w:pStyle w:val="NormlnyArial"/>
      </w:pPr>
    </w:p>
    <w:p w14:paraId="1779EB75" w14:textId="0D73B402" w:rsidR="00E56140" w:rsidRPr="0088338F" w:rsidRDefault="00E56140" w:rsidP="00E56140">
      <w:pPr>
        <w:jc w:val="both"/>
        <w:rPr>
          <w:rFonts w:ascii="Arial" w:hAnsi="Arial" w:cs="Arial"/>
          <w:sz w:val="20"/>
        </w:rPr>
      </w:pPr>
      <w:r w:rsidRPr="0088338F">
        <w:rPr>
          <w:rFonts w:ascii="Arial" w:hAnsi="Arial" w:cs="Arial"/>
          <w:sz w:val="20"/>
        </w:rPr>
        <w:t>V priebehu roka 201</w:t>
      </w:r>
      <w:r w:rsidR="003C305B" w:rsidRPr="0088338F">
        <w:rPr>
          <w:rFonts w:ascii="Arial" w:hAnsi="Arial" w:cs="Arial"/>
          <w:sz w:val="20"/>
        </w:rPr>
        <w:t>6</w:t>
      </w:r>
      <w:r w:rsidRPr="0088338F">
        <w:rPr>
          <w:rFonts w:ascii="Arial" w:hAnsi="Arial" w:cs="Arial"/>
          <w:sz w:val="20"/>
        </w:rPr>
        <w:t xml:space="preserve"> banka pristúpila najmä k prolong</w:t>
      </w:r>
      <w:r w:rsidR="004C1936" w:rsidRPr="0088338F">
        <w:rPr>
          <w:rFonts w:ascii="Arial" w:hAnsi="Arial" w:cs="Arial"/>
          <w:sz w:val="20"/>
        </w:rPr>
        <w:t>ácii</w:t>
      </w:r>
      <w:r w:rsidRPr="0088338F">
        <w:rPr>
          <w:rFonts w:ascii="Arial" w:hAnsi="Arial" w:cs="Arial"/>
          <w:sz w:val="20"/>
        </w:rPr>
        <w:t xml:space="preserve"> </w:t>
      </w:r>
      <w:r w:rsidR="0023079C" w:rsidRPr="0088338F">
        <w:rPr>
          <w:rFonts w:ascii="Arial" w:hAnsi="Arial" w:cs="Arial"/>
          <w:sz w:val="20"/>
        </w:rPr>
        <w:t xml:space="preserve">celkovej </w:t>
      </w:r>
      <w:r w:rsidRPr="0088338F">
        <w:rPr>
          <w:rFonts w:ascii="Arial" w:hAnsi="Arial" w:cs="Arial"/>
          <w:sz w:val="20"/>
        </w:rPr>
        <w:t xml:space="preserve">splatnosti finančných aktív – pohľadávok z úverových obchodov v celkovom objeme </w:t>
      </w:r>
      <w:r w:rsidR="0023079C" w:rsidRPr="0088338F">
        <w:rPr>
          <w:rFonts w:ascii="Arial" w:hAnsi="Arial" w:cs="Arial"/>
          <w:sz w:val="20"/>
        </w:rPr>
        <w:t>20 323</w:t>
      </w:r>
      <w:r w:rsidR="00E25709" w:rsidRPr="0088338F">
        <w:rPr>
          <w:rFonts w:ascii="Arial" w:hAnsi="Arial" w:cs="Arial"/>
          <w:sz w:val="20"/>
        </w:rPr>
        <w:t xml:space="preserve"> </w:t>
      </w:r>
      <w:r w:rsidRPr="0088338F">
        <w:rPr>
          <w:rFonts w:ascii="Arial" w:hAnsi="Arial" w:cs="Arial"/>
          <w:sz w:val="20"/>
        </w:rPr>
        <w:t xml:space="preserve">tis. EUR, z toho </w:t>
      </w:r>
      <w:r w:rsidR="00B67C4C" w:rsidRPr="0088338F">
        <w:rPr>
          <w:rFonts w:ascii="Arial" w:hAnsi="Arial" w:cs="Arial"/>
          <w:sz w:val="20"/>
        </w:rPr>
        <w:t>krátkodobé úvery</w:t>
      </w:r>
      <w:r w:rsidRPr="0088338F">
        <w:rPr>
          <w:rFonts w:ascii="Arial" w:hAnsi="Arial" w:cs="Arial"/>
          <w:sz w:val="20"/>
        </w:rPr>
        <w:t xml:space="preserve"> </w:t>
      </w:r>
      <w:r w:rsidR="008B5386" w:rsidRPr="0088338F">
        <w:rPr>
          <w:rFonts w:ascii="Arial" w:hAnsi="Arial" w:cs="Arial"/>
          <w:sz w:val="20"/>
        </w:rPr>
        <w:br/>
      </w:r>
      <w:r w:rsidR="0023079C" w:rsidRPr="0088338F">
        <w:rPr>
          <w:rFonts w:ascii="Arial" w:hAnsi="Arial" w:cs="Arial"/>
          <w:sz w:val="20"/>
        </w:rPr>
        <w:t>1 910</w:t>
      </w:r>
      <w:r w:rsidRPr="0088338F">
        <w:rPr>
          <w:rFonts w:ascii="Arial" w:hAnsi="Arial" w:cs="Arial"/>
          <w:sz w:val="20"/>
        </w:rPr>
        <w:t xml:space="preserve"> tis. EUR, </w:t>
      </w:r>
      <w:r w:rsidR="00B67C4C" w:rsidRPr="0088338F">
        <w:rPr>
          <w:rFonts w:ascii="Arial" w:hAnsi="Arial" w:cs="Arial"/>
          <w:sz w:val="20"/>
        </w:rPr>
        <w:t>dlhodobé</w:t>
      </w:r>
      <w:r w:rsidRPr="0088338F">
        <w:rPr>
          <w:rFonts w:ascii="Arial" w:hAnsi="Arial" w:cs="Arial"/>
          <w:sz w:val="20"/>
        </w:rPr>
        <w:t xml:space="preserve"> úvery </w:t>
      </w:r>
      <w:r w:rsidR="0023079C" w:rsidRPr="0088338F">
        <w:rPr>
          <w:rFonts w:ascii="Arial" w:hAnsi="Arial" w:cs="Arial"/>
          <w:sz w:val="20"/>
        </w:rPr>
        <w:t>18 413</w:t>
      </w:r>
      <w:r w:rsidRPr="0088338F">
        <w:rPr>
          <w:rFonts w:ascii="Arial" w:hAnsi="Arial" w:cs="Arial"/>
          <w:sz w:val="20"/>
        </w:rPr>
        <w:t xml:space="preserve"> tis. EUR.</w:t>
      </w:r>
    </w:p>
    <w:p w14:paraId="3B4AA1A6" w14:textId="77777777" w:rsidR="00E56140" w:rsidRPr="0088338F" w:rsidRDefault="00E56140" w:rsidP="00E56140">
      <w:pPr>
        <w:jc w:val="both"/>
        <w:rPr>
          <w:rFonts w:ascii="Arial" w:hAnsi="Arial" w:cs="Arial"/>
          <w:sz w:val="20"/>
        </w:rPr>
      </w:pPr>
    </w:p>
    <w:p w14:paraId="39283559" w14:textId="3F73609A" w:rsidR="006554D8" w:rsidRPr="0088338F" w:rsidRDefault="003C305B" w:rsidP="006554D8">
      <w:pPr>
        <w:jc w:val="both"/>
        <w:rPr>
          <w:rFonts w:ascii="Arial" w:hAnsi="Arial" w:cs="Arial"/>
          <w:sz w:val="20"/>
        </w:rPr>
      </w:pPr>
      <w:r w:rsidRPr="0088338F">
        <w:rPr>
          <w:rFonts w:ascii="Arial" w:hAnsi="Arial" w:cs="Arial"/>
          <w:sz w:val="20"/>
        </w:rPr>
        <w:lastRenderedPageBreak/>
        <w:t>V priebehu roka 2015 banka pristúpila najmä k prolongácii splatnosti finančných aktív – pohľadávok z úverových obchodov v celkovom objeme 29 751 tis. EUR, z toho krátkodobé úvery 9 687 tis. EUR, dlhodobé úvery 20 064 tis. EUR.</w:t>
      </w:r>
    </w:p>
    <w:p w14:paraId="56935B37" w14:textId="77777777" w:rsidR="00E56140" w:rsidRPr="0088338F" w:rsidRDefault="00E56140" w:rsidP="00E56140">
      <w:pPr>
        <w:jc w:val="both"/>
        <w:rPr>
          <w:rFonts w:ascii="Arial" w:hAnsi="Arial" w:cs="Arial"/>
          <w:sz w:val="20"/>
        </w:rPr>
      </w:pPr>
    </w:p>
    <w:p w14:paraId="6E1F3C8C" w14:textId="77777777" w:rsidR="00E56140" w:rsidRPr="0088338F" w:rsidRDefault="00E56140" w:rsidP="00E56140">
      <w:pPr>
        <w:jc w:val="both"/>
        <w:rPr>
          <w:rFonts w:ascii="Arial" w:hAnsi="Arial" w:cs="Arial"/>
          <w:sz w:val="20"/>
        </w:rPr>
      </w:pPr>
      <w:r w:rsidRPr="0088338F">
        <w:rPr>
          <w:rFonts w:ascii="Arial" w:hAnsi="Arial" w:cs="Arial"/>
          <w:sz w:val="20"/>
        </w:rPr>
        <w:t xml:space="preserve">Dôvodom boli najmä objektívne príčiny, ktoré mali za následok nezrealizovanie podnikateľského zámeru, resp. exitu z projektu v predpokladanom termíne, napr. z dôvodu nezískania rozhodnutí príslušných orgánov (ide hlavne o zmenu územného plánu, resp. o vydanie územného rozhodnutia), prípadne vzhľadom na prebiehajúce procesy dlžník nebol schopný zrealizovať predaj aktív, z ktorých výnos bol určený na splatenie úverovej pohľadávky banky. Vo všetkých prípadoch banka ošetrila svoju pozíciu tak, aby v budúcom období nebola vystavená vyššiemu riziku ako v čase uzatvorenia obchodu. </w:t>
      </w:r>
    </w:p>
    <w:p w14:paraId="3F62B275" w14:textId="77777777" w:rsidR="007A0C5E" w:rsidRPr="0088338F" w:rsidRDefault="007A0C5E" w:rsidP="009C090C">
      <w:pPr>
        <w:jc w:val="both"/>
        <w:rPr>
          <w:rFonts w:ascii="Arial" w:hAnsi="Arial" w:cs="Arial"/>
          <w:sz w:val="20"/>
        </w:rPr>
      </w:pPr>
    </w:p>
    <w:p w14:paraId="0721087A" w14:textId="358CDE6F" w:rsidR="00722CC9" w:rsidRPr="0088338F" w:rsidRDefault="00722CC9" w:rsidP="009C090C">
      <w:pPr>
        <w:jc w:val="both"/>
        <w:rPr>
          <w:rFonts w:ascii="Arial" w:hAnsi="Arial" w:cs="Arial"/>
          <w:sz w:val="20"/>
        </w:rPr>
      </w:pPr>
      <w:r w:rsidRPr="0088338F">
        <w:rPr>
          <w:rFonts w:ascii="Arial" w:hAnsi="Arial" w:cs="Arial"/>
          <w:sz w:val="20"/>
        </w:rPr>
        <w:t>K 31.12.2016 banka eviduje reštrukturalizované aktíva v objeme 21 848 tis. EUR, ku ktorým sú vytvorené opravné položky vo výške 7 611 tis. EUR.</w:t>
      </w:r>
    </w:p>
    <w:p w14:paraId="01709F14" w14:textId="77777777" w:rsidR="00DE6DC7" w:rsidRPr="0088338F" w:rsidRDefault="00DE6DC7" w:rsidP="009C090C">
      <w:pPr>
        <w:jc w:val="both"/>
        <w:rPr>
          <w:rFonts w:ascii="Arial" w:hAnsi="Arial" w:cs="Arial"/>
          <w:sz w:val="20"/>
        </w:rPr>
      </w:pPr>
    </w:p>
    <w:p w14:paraId="247283B6" w14:textId="0F290CD0" w:rsidR="002E14CC" w:rsidRPr="0088338F" w:rsidRDefault="00AC6B38" w:rsidP="009C090C">
      <w:pPr>
        <w:pStyle w:val="NormlnyArial"/>
      </w:pPr>
      <w:r w:rsidRPr="0088338F">
        <w:rPr>
          <w:b/>
        </w:rPr>
        <w:t>Významné koncentrácie kreditného rizika</w:t>
      </w:r>
    </w:p>
    <w:p w14:paraId="5833AE6A" w14:textId="77777777" w:rsidR="00105C5C" w:rsidRPr="0088338F" w:rsidRDefault="00105C5C" w:rsidP="009C090C">
      <w:pPr>
        <w:pStyle w:val="NormlnyArial"/>
      </w:pPr>
    </w:p>
    <w:p w14:paraId="51B6F56B" w14:textId="77777777" w:rsidR="006D0057" w:rsidRPr="0088338F" w:rsidRDefault="006D0057" w:rsidP="002B3BCE">
      <w:pPr>
        <w:pStyle w:val="NormlnyArial"/>
        <w:numPr>
          <w:ilvl w:val="0"/>
          <w:numId w:val="11"/>
        </w:numPr>
        <w:tabs>
          <w:tab w:val="clear" w:pos="930"/>
          <w:tab w:val="left" w:pos="567"/>
        </w:tabs>
        <w:ind w:left="567" w:hanging="567"/>
      </w:pPr>
      <w:r w:rsidRPr="0088338F">
        <w:t>Koncentrácie voči odvetviam národného hospodárstva</w:t>
      </w:r>
    </w:p>
    <w:p w14:paraId="72F1ECB3" w14:textId="77777777" w:rsidR="006D0057" w:rsidRPr="0088338F" w:rsidRDefault="006D0057" w:rsidP="009C090C">
      <w:pPr>
        <w:pStyle w:val="NormlnyArial"/>
      </w:pPr>
    </w:p>
    <w:bookmarkStart w:id="2269" w:name="_MON_1453640951"/>
    <w:bookmarkStart w:id="2270" w:name="_MON_1454217071"/>
    <w:bookmarkStart w:id="2271" w:name="_MON_1454310246"/>
    <w:bookmarkStart w:id="2272" w:name="_MON_1264512135"/>
    <w:bookmarkStart w:id="2273" w:name="_MON_1264520472"/>
    <w:bookmarkStart w:id="2274" w:name="_MON_1264952096"/>
    <w:bookmarkStart w:id="2275" w:name="_MON_1288373589"/>
    <w:bookmarkStart w:id="2276" w:name="_MON_1297072486"/>
    <w:bookmarkStart w:id="2277" w:name="_MON_1297075112"/>
    <w:bookmarkStart w:id="2278" w:name="_MON_1297075202"/>
    <w:bookmarkStart w:id="2279" w:name="_MON_1297186551"/>
    <w:bookmarkStart w:id="2280" w:name="_MON_1297501296"/>
    <w:bookmarkStart w:id="2281" w:name="_MON_1297525394"/>
    <w:bookmarkStart w:id="2282" w:name="_MON_1322833397"/>
    <w:bookmarkStart w:id="2283" w:name="_MON_1322833598"/>
    <w:bookmarkStart w:id="2284" w:name="_MON_1322833727"/>
    <w:bookmarkStart w:id="2285" w:name="_MON_1328535574"/>
    <w:bookmarkStart w:id="2286" w:name="_MON_1328535875"/>
    <w:bookmarkStart w:id="2287" w:name="_MON_1328536227"/>
    <w:bookmarkStart w:id="2288" w:name="_MON_1328536274"/>
    <w:bookmarkStart w:id="2289" w:name="_MON_1328536285"/>
    <w:bookmarkStart w:id="2290" w:name="_MON_1355312778"/>
    <w:bookmarkStart w:id="2291" w:name="_MON_1359533711"/>
    <w:bookmarkStart w:id="2292" w:name="_MON_1359533931"/>
    <w:bookmarkStart w:id="2293" w:name="_MON_1360497190"/>
    <w:bookmarkStart w:id="2294" w:name="_MON_1360497286"/>
    <w:bookmarkStart w:id="2295" w:name="_MON_1361090019"/>
    <w:bookmarkStart w:id="2296" w:name="_MON_1389894130"/>
    <w:bookmarkStart w:id="2297" w:name="_MON_1390826159"/>
    <w:bookmarkStart w:id="2298" w:name="_MON_1391958774"/>
    <w:bookmarkStart w:id="2299" w:name="_MON_1422424011"/>
    <w:bookmarkStart w:id="2300" w:name="_MON_1422424053"/>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Start w:id="2301" w:name="_MON_1422427430"/>
    <w:bookmarkEnd w:id="2301"/>
    <w:p w14:paraId="46127F45" w14:textId="0979B0A8" w:rsidR="00AC6B38" w:rsidRPr="0088338F" w:rsidRDefault="002268AC" w:rsidP="009C090C">
      <w:pPr>
        <w:pStyle w:val="NormlnyArial"/>
      </w:pPr>
      <w:r w:rsidRPr="0088338F">
        <w:object w:dxaOrig="9590" w:dyaOrig="4252" w14:anchorId="4EEC30B3">
          <v:shape id="_x0000_i1104" type="#_x0000_t75" style="width:447pt;height:218.4pt" o:ole="" o:preferrelative="f">
            <v:imagedata r:id="rId188" o:title=""/>
            <o:lock v:ext="edit" aspectratio="f"/>
          </v:shape>
          <o:OLEObject Type="Embed" ProgID="Excel.Sheet.8" ShapeID="_x0000_i1104" DrawAspect="Content" ObjectID="_1551591605" r:id="rId189"/>
        </w:object>
      </w:r>
    </w:p>
    <w:p w14:paraId="4EA957CD" w14:textId="77777777" w:rsidR="00AC6B38" w:rsidRPr="0088338F" w:rsidRDefault="00AC6B38" w:rsidP="009C090C">
      <w:pPr>
        <w:pStyle w:val="NormlnyArial"/>
      </w:pPr>
    </w:p>
    <w:p w14:paraId="519A363A" w14:textId="6BC11884" w:rsidR="006D0057" w:rsidRPr="0088338F" w:rsidRDefault="006D0057" w:rsidP="002B3BCE">
      <w:pPr>
        <w:pStyle w:val="NormlnyArial"/>
        <w:numPr>
          <w:ilvl w:val="0"/>
          <w:numId w:val="11"/>
        </w:numPr>
        <w:tabs>
          <w:tab w:val="clear" w:pos="930"/>
          <w:tab w:val="left" w:pos="567"/>
        </w:tabs>
        <w:ind w:left="567" w:hanging="567"/>
      </w:pPr>
      <w:r w:rsidRPr="0088338F">
        <w:t xml:space="preserve">Koncentrácie voči významným </w:t>
      </w:r>
      <w:r w:rsidR="00F10174" w:rsidRPr="0088338F">
        <w:t>s</w:t>
      </w:r>
      <w:r w:rsidRPr="0088338F">
        <w:t>kupinám</w:t>
      </w:r>
      <w:r w:rsidR="00F10174" w:rsidRPr="0088338F">
        <w:t xml:space="preserve"> prepojených klientov</w:t>
      </w:r>
    </w:p>
    <w:p w14:paraId="241F3859" w14:textId="77777777" w:rsidR="00AC6B38" w:rsidRPr="0088338F" w:rsidRDefault="00AC6B38" w:rsidP="009C090C">
      <w:pPr>
        <w:pStyle w:val="NormlnyArial"/>
      </w:pPr>
    </w:p>
    <w:p w14:paraId="5CC169AC" w14:textId="330291C6" w:rsidR="00680D13" w:rsidRPr="0088338F" w:rsidRDefault="0006524C" w:rsidP="00680D13">
      <w:pPr>
        <w:pStyle w:val="NormlnyArial"/>
      </w:pPr>
      <w:r w:rsidRPr="0088338F">
        <w:t xml:space="preserve">Banka neustále monitoruje angažovanosť voči skupinám prepojených klientov za účelom dodržiavania regulatórnych limitov. </w:t>
      </w:r>
      <w:r w:rsidR="00680D13" w:rsidRPr="0088338F">
        <w:t xml:space="preserve">Maximálna miera angažovanosti voči dlžníkovi alebo </w:t>
      </w:r>
      <w:r w:rsidR="00271A91" w:rsidRPr="0088338F">
        <w:t>ekonomicky</w:t>
      </w:r>
      <w:r w:rsidR="00680D13" w:rsidRPr="0088338F">
        <w:t xml:space="preserve"> prepojenej skupine</w:t>
      </w:r>
      <w:r w:rsidR="008708AA" w:rsidRPr="0088338F">
        <w:t xml:space="preserve"> klientov</w:t>
      </w:r>
      <w:r w:rsidR="00740055" w:rsidRPr="0088338F">
        <w:t xml:space="preserve"> (v zmysle definície právnych predpisov)</w:t>
      </w:r>
      <w:r w:rsidR="008708AA" w:rsidRPr="0088338F">
        <w:t xml:space="preserve"> </w:t>
      </w:r>
      <w:r w:rsidR="00680D13" w:rsidRPr="0088338F">
        <w:t>je vzhľadom na výšku ka</w:t>
      </w:r>
      <w:r w:rsidR="008E6838" w:rsidRPr="0088338F">
        <w:t>pitálu banky k 31. </w:t>
      </w:r>
      <w:r w:rsidR="0091208F" w:rsidRPr="0088338F">
        <w:t>decembru 201</w:t>
      </w:r>
      <w:r w:rsidR="00E7157E" w:rsidRPr="0088338F">
        <w:t>6</w:t>
      </w:r>
      <w:r w:rsidR="00680D13" w:rsidRPr="0088338F">
        <w:t xml:space="preserve"> limitovaná sumou </w:t>
      </w:r>
      <w:r w:rsidR="00F41BB7" w:rsidRPr="0088338F">
        <w:t>14 775</w:t>
      </w:r>
      <w:r w:rsidR="00680D13" w:rsidRPr="0088338F">
        <w:t xml:space="preserve"> tis. EUR (201</w:t>
      </w:r>
      <w:r w:rsidR="00E7157E" w:rsidRPr="0088338F">
        <w:t>5</w:t>
      </w:r>
      <w:r w:rsidR="00680D13" w:rsidRPr="0088338F">
        <w:t xml:space="preserve">: </w:t>
      </w:r>
      <w:r w:rsidR="00A27E93" w:rsidRPr="0088338F">
        <w:t>1</w:t>
      </w:r>
      <w:r w:rsidR="00E7157E" w:rsidRPr="0088338F">
        <w:t>3</w:t>
      </w:r>
      <w:r w:rsidR="004819C0" w:rsidRPr="0088338F">
        <w:t> </w:t>
      </w:r>
      <w:r w:rsidR="00E7157E" w:rsidRPr="0088338F">
        <w:t>380</w:t>
      </w:r>
      <w:r w:rsidR="004819C0" w:rsidRPr="0088338F">
        <w:t> tis. </w:t>
      </w:r>
      <w:r w:rsidR="00680D13" w:rsidRPr="0088338F">
        <w:t xml:space="preserve">EUR). </w:t>
      </w:r>
    </w:p>
    <w:p w14:paraId="02FFE64C" w14:textId="77777777" w:rsidR="00B53ED8" w:rsidRPr="0088338F" w:rsidRDefault="00B53ED8" w:rsidP="00646403">
      <w:pPr>
        <w:pStyle w:val="NormlnyArial"/>
      </w:pPr>
    </w:p>
    <w:p w14:paraId="11A97233" w14:textId="77777777" w:rsidR="00DE6DC7" w:rsidRPr="0088338F" w:rsidRDefault="00DE6DC7">
      <w:pPr>
        <w:rPr>
          <w:rFonts w:ascii="Arial" w:hAnsi="Arial" w:cs="Arial"/>
          <w:sz w:val="20"/>
        </w:rPr>
      </w:pPr>
    </w:p>
    <w:p w14:paraId="2C8EB6D7" w14:textId="7A09254D" w:rsidR="00DE6DC7" w:rsidRPr="0088338F" w:rsidRDefault="00DE6DC7">
      <w:pPr>
        <w:rPr>
          <w:rFonts w:ascii="Arial" w:hAnsi="Arial" w:cs="Arial"/>
          <w:sz w:val="20"/>
        </w:rPr>
      </w:pPr>
      <w:r w:rsidRPr="0088338F">
        <w:rPr>
          <w:rFonts w:ascii="Arial" w:hAnsi="Arial" w:cs="Arial"/>
          <w:sz w:val="20"/>
        </w:rPr>
        <w:br w:type="page"/>
      </w:r>
    </w:p>
    <w:p w14:paraId="6647C1EF" w14:textId="77777777" w:rsidR="00F21A69" w:rsidRPr="0088338F" w:rsidRDefault="00F21A69" w:rsidP="00646403">
      <w:pPr>
        <w:pStyle w:val="NormlnyArial"/>
        <w:rPr>
          <w:b/>
        </w:rPr>
      </w:pPr>
      <w:r w:rsidRPr="0088338F">
        <w:rPr>
          <w:b/>
        </w:rPr>
        <w:lastRenderedPageBreak/>
        <w:t>Maximálna úverová angažovanosť</w:t>
      </w:r>
    </w:p>
    <w:p w14:paraId="69E7DE70" w14:textId="77777777" w:rsidR="00E13237" w:rsidRPr="0088338F" w:rsidRDefault="00E13237" w:rsidP="00646403">
      <w:pPr>
        <w:pStyle w:val="NormlnyArial"/>
        <w:rPr>
          <w:b/>
        </w:rPr>
      </w:pPr>
    </w:p>
    <w:bookmarkStart w:id="2302" w:name="_MON_1296823554"/>
    <w:bookmarkStart w:id="2303" w:name="_MON_1296823581"/>
    <w:bookmarkStart w:id="2304" w:name="_MON_1296823591"/>
    <w:bookmarkStart w:id="2305" w:name="_MON_1296978962"/>
    <w:bookmarkStart w:id="2306" w:name="_MON_1296979013"/>
    <w:bookmarkStart w:id="2307" w:name="_MON_1322833782"/>
    <w:bookmarkStart w:id="2308" w:name="_MON_1322833877"/>
    <w:bookmarkStart w:id="2309" w:name="_MON_1322834034"/>
    <w:bookmarkStart w:id="2310" w:name="_MON_1328343950"/>
    <w:bookmarkStart w:id="2311" w:name="_MON_1328530043"/>
    <w:bookmarkStart w:id="2312" w:name="_MON_1355312841"/>
    <w:bookmarkStart w:id="2313" w:name="_MON_1359383777"/>
    <w:bookmarkStart w:id="2314" w:name="_MON_1359383855"/>
    <w:bookmarkStart w:id="2315" w:name="_MON_1389894190"/>
    <w:bookmarkStart w:id="2316" w:name="_MON_1389894213"/>
    <w:bookmarkStart w:id="2317" w:name="_MON_1389894260"/>
    <w:bookmarkStart w:id="2318" w:name="_MON_1390635042"/>
    <w:bookmarkStart w:id="2319" w:name="_MON_1390635132"/>
    <w:bookmarkStart w:id="2320" w:name="_MON_1395046411"/>
    <w:bookmarkStart w:id="2321" w:name="_MON_1395750536"/>
    <w:bookmarkStart w:id="2322" w:name="_MON_1396090899"/>
    <w:bookmarkStart w:id="2323" w:name="_MON_1424766154"/>
    <w:bookmarkStart w:id="2324" w:name="_MON_1425192470"/>
    <w:bookmarkStart w:id="2325" w:name="_MON_1427101101"/>
    <w:bookmarkStart w:id="2326" w:name="_MON_1427180384"/>
    <w:bookmarkStart w:id="2327" w:name="_MON_1430823368"/>
    <w:bookmarkStart w:id="2328" w:name="_MON_1434893765"/>
    <w:bookmarkStart w:id="2329" w:name="_MON_1434894348"/>
    <w:bookmarkStart w:id="2330" w:name="_MON_1434975374"/>
    <w:bookmarkStart w:id="2331" w:name="_MON_1435497166"/>
    <w:bookmarkStart w:id="2332" w:name="_MON_1441025793"/>
    <w:bookmarkStart w:id="2333" w:name="_MON_1443264949"/>
    <w:bookmarkStart w:id="2334" w:name="_MON_1446468277"/>
    <w:bookmarkStart w:id="2335" w:name="_MON_1451369934"/>
    <w:bookmarkStart w:id="2336" w:name="_MON_1453641021"/>
    <w:bookmarkStart w:id="2337" w:name="_MON_1453871832"/>
    <w:bookmarkStart w:id="2338" w:name="_MON_1456744329"/>
    <w:bookmarkStart w:id="2339" w:name="_MON_1458734706"/>
    <w:bookmarkStart w:id="2340" w:name="_MON_1461478669"/>
    <w:bookmarkStart w:id="2341" w:name="_MON_1466498061"/>
    <w:bookmarkStart w:id="2342" w:name="_MON_1264528392"/>
    <w:bookmarkStart w:id="2343" w:name="_MON_1264528422"/>
    <w:bookmarkStart w:id="2344" w:name="_MON_1264528876"/>
    <w:bookmarkStart w:id="2345" w:name="_MON_1264528980"/>
    <w:bookmarkStart w:id="2346" w:name="_MON_1264529070"/>
    <w:bookmarkStart w:id="2347" w:name="_MON_1264529106"/>
    <w:bookmarkStart w:id="2348" w:name="_MON_1264586378"/>
    <w:bookmarkStart w:id="2349" w:name="_MON_1264586431"/>
    <w:bookmarkStart w:id="2350" w:name="_MON_1264587095"/>
    <w:bookmarkStart w:id="2351" w:name="_MON_1264587356"/>
    <w:bookmarkStart w:id="2352" w:name="_MON_1265734558"/>
    <w:bookmarkStart w:id="2353" w:name="_MON_1265804326"/>
    <w:bookmarkStart w:id="2354" w:name="_MON_1265804338"/>
    <w:bookmarkStart w:id="2355" w:name="_MON_1265804403"/>
    <w:bookmarkStart w:id="2356" w:name="_MON_1266496428"/>
    <w:bookmarkStart w:id="2357" w:name="_MON_1266499414"/>
    <w:bookmarkStart w:id="2358" w:name="_MON_1267519965"/>
    <w:bookmarkStart w:id="2359" w:name="_MON_1288373773"/>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Start w:id="2360" w:name="_MON_1296823391"/>
    <w:bookmarkEnd w:id="2360"/>
    <w:p w14:paraId="7F4D6F1C" w14:textId="49205B76" w:rsidR="00A27E93" w:rsidRPr="0088338F" w:rsidRDefault="001D7B16" w:rsidP="00646403">
      <w:pPr>
        <w:pStyle w:val="NormlnyArial"/>
      </w:pPr>
      <w:r w:rsidRPr="0088338F">
        <w:object w:dxaOrig="9669" w:dyaOrig="4746" w14:anchorId="2F53BA05">
          <v:shape id="_x0000_i1105" type="#_x0000_t75" style="width:450.6pt;height:255pt" o:ole="" o:preferrelative="f">
            <v:imagedata r:id="rId190" o:title=""/>
            <o:lock v:ext="edit" aspectratio="f"/>
          </v:shape>
          <o:OLEObject Type="Embed" ProgID="Excel.Sheet.8" ShapeID="_x0000_i1105" DrawAspect="Content" ObjectID="_1551591606" r:id="rId191"/>
        </w:object>
      </w:r>
    </w:p>
    <w:p w14:paraId="717FB1DF" w14:textId="43F01F68" w:rsidR="009B6666" w:rsidRPr="0088338F" w:rsidRDefault="009B6666">
      <w:pPr>
        <w:rPr>
          <w:rFonts w:ascii="Arial" w:hAnsi="Arial" w:cs="Arial"/>
          <w:sz w:val="20"/>
        </w:rPr>
      </w:pPr>
    </w:p>
    <w:p w14:paraId="19949E57" w14:textId="77777777" w:rsidR="00271A91" w:rsidRPr="0088338F" w:rsidRDefault="00271A91" w:rsidP="00646403">
      <w:pPr>
        <w:pStyle w:val="NormlnyArial"/>
      </w:pPr>
    </w:p>
    <w:p w14:paraId="6F6E2FA2" w14:textId="3ADDFEAB" w:rsidR="003F2B66" w:rsidRPr="0088338F" w:rsidRDefault="003F2B66"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operačné, právne a ostatné riziká</w:t>
      </w:r>
    </w:p>
    <w:p w14:paraId="71265688" w14:textId="77777777" w:rsidR="003F2B66" w:rsidRPr="0088338F" w:rsidRDefault="003F2B66" w:rsidP="00646403">
      <w:pPr>
        <w:pStyle w:val="NormlnyArial"/>
      </w:pPr>
    </w:p>
    <w:p w14:paraId="66D282D6" w14:textId="77777777" w:rsidR="0091208F" w:rsidRPr="0088338F" w:rsidRDefault="0091208F" w:rsidP="0091208F">
      <w:pPr>
        <w:pStyle w:val="NormlnyArial"/>
      </w:pPr>
      <w:r w:rsidRPr="0088338F">
        <w:t>Banka vytvára databázu operačných strát a udalostí, ktoré predstavujú potenciálne riziko straty. Vzhľadom na veľkosť banky a z nej vyplývajúcu početnosť udalostí operačných rizík a strát je len veľmi málo pravdepodobné, že takto archivované prípady operačných rizík budú tvoriť dostatočne veľkú vzorku s akceptovateľnou vypovedacou schopnosťou na tvorbu sofistikovanejších riešení pri riadení operačných rizík. Databáza operačných strát a udalostí slúži vrcholovému managementu predovšetkým na všeobecnú orientáciu pri posudzovaní a monitorovaní tohto rizikového faktora.</w:t>
      </w:r>
    </w:p>
    <w:p w14:paraId="34F22715" w14:textId="77777777" w:rsidR="0091208F" w:rsidRPr="0088338F" w:rsidRDefault="0091208F" w:rsidP="0091208F">
      <w:pPr>
        <w:pStyle w:val="NormlnyArial"/>
      </w:pPr>
    </w:p>
    <w:p w14:paraId="48D21437" w14:textId="77777777" w:rsidR="0091208F" w:rsidRPr="0088338F" w:rsidRDefault="0091208F" w:rsidP="0091208F">
      <w:pPr>
        <w:pStyle w:val="NormlnyArial"/>
      </w:pPr>
      <w:r w:rsidRPr="0088338F">
        <w:t>Právne a ostatné riziká sú sledované v rámci vnútorného kontrolného systému banky pri previerkach uskutočňovaných oddelením vnútornej kontroly a vnútorného auditu a odbornými útvarmi ústredia.</w:t>
      </w:r>
    </w:p>
    <w:p w14:paraId="3E5E55AD" w14:textId="77777777" w:rsidR="00242AF5" w:rsidRPr="0088338F" w:rsidRDefault="00242AF5" w:rsidP="00646403">
      <w:pPr>
        <w:pStyle w:val="NormlnyArial"/>
      </w:pPr>
    </w:p>
    <w:p w14:paraId="4409A391" w14:textId="77777777" w:rsidR="00D60D0A" w:rsidRPr="0088338F" w:rsidRDefault="00D60D0A" w:rsidP="00646403">
      <w:pPr>
        <w:pStyle w:val="NormlnyArial"/>
      </w:pPr>
    </w:p>
    <w:p w14:paraId="2FD1E174" w14:textId="77777777" w:rsidR="008B5386" w:rsidRPr="0088338F" w:rsidRDefault="008B5386">
      <w:pPr>
        <w:rPr>
          <w:rFonts w:ascii="Arial" w:hAnsi="Arial" w:cs="Arial"/>
          <w:b/>
          <w:caps/>
          <w:sz w:val="20"/>
          <w:szCs w:val="20"/>
        </w:rPr>
      </w:pPr>
      <w:r w:rsidRPr="0088338F">
        <w:rPr>
          <w:rFonts w:ascii="Arial" w:hAnsi="Arial" w:cs="Arial"/>
          <w:b/>
          <w:caps/>
          <w:sz w:val="20"/>
          <w:szCs w:val="20"/>
        </w:rPr>
        <w:br w:type="page"/>
      </w:r>
    </w:p>
    <w:p w14:paraId="40D4C3B9" w14:textId="79B5001A" w:rsidR="003F2B66" w:rsidRPr="0088338F" w:rsidRDefault="003F2B66"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lastRenderedPageBreak/>
        <w:t>reálne hodnoty</w:t>
      </w:r>
    </w:p>
    <w:p w14:paraId="3D656613" w14:textId="77777777" w:rsidR="003F2B66" w:rsidRPr="0088338F" w:rsidRDefault="003F2B66" w:rsidP="00646403">
      <w:pPr>
        <w:pStyle w:val="NormlnyArial"/>
      </w:pPr>
    </w:p>
    <w:p w14:paraId="7609C6E2" w14:textId="77777777" w:rsidR="003F2B66" w:rsidRPr="0088338F" w:rsidRDefault="003F2B66" w:rsidP="00646403">
      <w:pPr>
        <w:pStyle w:val="NormlnyArial"/>
      </w:pPr>
      <w:r w:rsidRPr="0088338F">
        <w:t xml:space="preserve">Reálna hodnota je peňažná </w:t>
      </w:r>
      <w:r w:rsidR="00640275" w:rsidRPr="0088338F">
        <w:t>suma</w:t>
      </w:r>
      <w:r w:rsidRPr="0088338F">
        <w:t>, za ktorú môžeme určitý druh aktív vymeniť alebo vyrovn</w:t>
      </w:r>
      <w:r w:rsidR="00EE055E" w:rsidRPr="0088338F">
        <w:t>ať</w:t>
      </w:r>
      <w:r w:rsidRPr="0088338F">
        <w:t xml:space="preserve"> záväzok voči druhej strane za cenu obvyklú. Odhadované reálne hodnoty </w:t>
      </w:r>
      <w:r w:rsidR="009E34E2" w:rsidRPr="0088338F">
        <w:t>finančných</w:t>
      </w:r>
      <w:r w:rsidR="00EE055E" w:rsidRPr="0088338F">
        <w:t xml:space="preserve"> aktív a</w:t>
      </w:r>
      <w:r w:rsidR="000D3AAB" w:rsidRPr="0088338F">
        <w:t> </w:t>
      </w:r>
      <w:r w:rsidR="00EE055E" w:rsidRPr="0088338F">
        <w:t>finančných</w:t>
      </w:r>
      <w:r w:rsidR="009E34E2" w:rsidRPr="0088338F">
        <w:t xml:space="preserve"> </w:t>
      </w:r>
      <w:r w:rsidRPr="0088338F">
        <w:t xml:space="preserve">záväzkov </w:t>
      </w:r>
      <w:r w:rsidR="009E34E2" w:rsidRPr="0088338F">
        <w:t>banky</w:t>
      </w:r>
      <w:r w:rsidRPr="0088338F">
        <w:t xml:space="preserve"> boli ku koncu rok</w:t>
      </w:r>
      <w:r w:rsidR="009E34E2" w:rsidRPr="0088338F">
        <w:t>ov</w:t>
      </w:r>
      <w:r w:rsidRPr="0088338F">
        <w:t xml:space="preserve"> nasledovné:</w:t>
      </w:r>
    </w:p>
    <w:bookmarkStart w:id="2361" w:name="_MON_1396097894"/>
    <w:bookmarkStart w:id="2362" w:name="_MON_1396098030"/>
    <w:bookmarkStart w:id="2363" w:name="_MON_1424766237"/>
    <w:bookmarkStart w:id="2364" w:name="_MON_1425192535"/>
    <w:bookmarkStart w:id="2365" w:name="_MON_1427010363"/>
    <w:bookmarkStart w:id="2366" w:name="_MON_1430823418"/>
    <w:bookmarkStart w:id="2367" w:name="_MON_1434889091"/>
    <w:bookmarkStart w:id="2368" w:name="_MON_1441025823"/>
    <w:bookmarkStart w:id="2369" w:name="_MON_1442749137"/>
    <w:bookmarkStart w:id="2370" w:name="_MON_1446468318"/>
    <w:bookmarkStart w:id="2371" w:name="_MON_1451280171"/>
    <w:bookmarkStart w:id="2372" w:name="_MON_1451311748"/>
    <w:bookmarkStart w:id="2373" w:name="_MON_1453871908"/>
    <w:bookmarkStart w:id="2374" w:name="_MON_1454311933"/>
    <w:bookmarkStart w:id="2375" w:name="_MON_1456744401"/>
    <w:bookmarkStart w:id="2376" w:name="_MON_1458556613"/>
    <w:bookmarkStart w:id="2377" w:name="_MON_1458714731"/>
    <w:bookmarkStart w:id="2378" w:name="_MON_1458977736"/>
    <w:bookmarkStart w:id="2379" w:name="_MON_1461478688"/>
    <w:bookmarkStart w:id="2380" w:name="_MON_1466315350"/>
    <w:bookmarkStart w:id="2381" w:name="_MON_1466407289"/>
    <w:bookmarkStart w:id="2382" w:name="_MON_1297180981"/>
    <w:bookmarkStart w:id="2383" w:name="_MON_1297186598"/>
    <w:bookmarkStart w:id="2384" w:name="_MON_1297501339"/>
    <w:bookmarkStart w:id="2385" w:name="_MON_1297501346"/>
    <w:bookmarkStart w:id="2386" w:name="_MON_1322834220"/>
    <w:bookmarkStart w:id="2387" w:name="_MON_1322834728"/>
    <w:bookmarkStart w:id="2388" w:name="_MON_1328337606"/>
    <w:bookmarkStart w:id="2389" w:name="_MON_1328338007"/>
    <w:bookmarkStart w:id="2390" w:name="_MON_1328690577"/>
    <w:bookmarkStart w:id="2391" w:name="_MON_1328696986"/>
    <w:bookmarkStart w:id="2392" w:name="_MON_1355312888"/>
    <w:bookmarkStart w:id="2393" w:name="_MON_1359544962"/>
    <w:bookmarkStart w:id="2394" w:name="_MON_1359548664"/>
    <w:bookmarkStart w:id="2395" w:name="_MON_1361109157"/>
    <w:bookmarkStart w:id="2396" w:name="_MON_1361172123"/>
    <w:bookmarkStart w:id="2397" w:name="_MON_1364039486"/>
    <w:bookmarkStart w:id="2398" w:name="_MON_1364039710"/>
    <w:bookmarkStart w:id="2399" w:name="_MON_1364039884"/>
    <w:bookmarkStart w:id="2400" w:name="_MON_1364294913"/>
    <w:bookmarkStart w:id="2401" w:name="_MON_1372082925"/>
    <w:bookmarkStart w:id="2402" w:name="_MON_1372250470"/>
    <w:bookmarkStart w:id="2403" w:name="_MON_1380185888"/>
    <w:bookmarkStart w:id="2404" w:name="_MON_1380447749"/>
    <w:bookmarkStart w:id="2405" w:name="_MON_1387463557"/>
    <w:bookmarkStart w:id="2406" w:name="_MON_1388243071"/>
    <w:bookmarkStart w:id="2407" w:name="_MON_1395046532"/>
    <w:bookmarkStart w:id="2408" w:name="_MON_1395725500"/>
    <w:bookmarkStart w:id="2409" w:name="_MON_1395725588"/>
    <w:bookmarkStart w:id="2410" w:name="_MON_1395909862"/>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Start w:id="2411" w:name="_MON_1396090919"/>
    <w:bookmarkEnd w:id="2411"/>
    <w:p w14:paraId="701FC017" w14:textId="03D4E46D" w:rsidR="00560D15" w:rsidRPr="0088338F" w:rsidRDefault="00950769" w:rsidP="00F67A4E">
      <w:pPr>
        <w:pStyle w:val="NormlnyArial"/>
      </w:pPr>
      <w:r w:rsidRPr="0088338F">
        <w:object w:dxaOrig="9528" w:dyaOrig="4746" w14:anchorId="4F74DED5">
          <v:shape id="_x0000_i1106" type="#_x0000_t75" style="width:452.4pt;height:240pt" o:ole="" o:preferrelative="f">
            <v:imagedata r:id="rId192" o:title=""/>
            <o:lock v:ext="edit" aspectratio="f"/>
          </v:shape>
          <o:OLEObject Type="Embed" ProgID="Excel.Sheet.8" ShapeID="_x0000_i1106" DrawAspect="Content" ObjectID="_1551591607" r:id="rId193"/>
        </w:object>
      </w:r>
    </w:p>
    <w:p w14:paraId="0D191317" w14:textId="77777777" w:rsidR="00A27E93" w:rsidRPr="0088338F" w:rsidRDefault="00A27E93" w:rsidP="00F67A4E">
      <w:pPr>
        <w:pStyle w:val="NormlnyArial"/>
      </w:pPr>
    </w:p>
    <w:p w14:paraId="15FE2004" w14:textId="6BF95594" w:rsidR="00BD7808" w:rsidRPr="0088338F" w:rsidRDefault="00BD7808" w:rsidP="00F67A4E">
      <w:pPr>
        <w:pStyle w:val="NormlnyArial"/>
      </w:pPr>
      <w:r w:rsidRPr="0088338F">
        <w:t>Spôsob stanovenia reálnej hodnoty pri vybraných finančných aktívach</w:t>
      </w:r>
      <w:r w:rsidR="00442A83" w:rsidRPr="0088338F">
        <w:t xml:space="preserve"> k 31.</w:t>
      </w:r>
      <w:r w:rsidR="00B37323" w:rsidRPr="0088338F">
        <w:t xml:space="preserve"> decembru </w:t>
      </w:r>
      <w:r w:rsidR="00442A83" w:rsidRPr="0088338F">
        <w:t>20</w:t>
      </w:r>
      <w:r w:rsidR="00D60D0A" w:rsidRPr="0088338F">
        <w:t>1</w:t>
      </w:r>
      <w:r w:rsidR="00E7157E" w:rsidRPr="0088338F">
        <w:t>6</w:t>
      </w:r>
      <w:r w:rsidRPr="0088338F">
        <w:t>:</w:t>
      </w:r>
    </w:p>
    <w:bookmarkStart w:id="2412" w:name="_MON_1458734927"/>
    <w:bookmarkStart w:id="2413" w:name="_MON_1461478732"/>
    <w:bookmarkStart w:id="2414" w:name="_MON_1466407367"/>
    <w:bookmarkStart w:id="2415" w:name="_MON_1297247454"/>
    <w:bookmarkStart w:id="2416" w:name="_MON_1297247509"/>
    <w:bookmarkStart w:id="2417" w:name="_MON_1297267044"/>
    <w:bookmarkStart w:id="2418" w:name="_MON_1297501356"/>
    <w:bookmarkStart w:id="2419" w:name="_MON_1298106450"/>
    <w:bookmarkStart w:id="2420" w:name="_MON_1322834917"/>
    <w:bookmarkStart w:id="2421" w:name="_MON_1322834951"/>
    <w:bookmarkStart w:id="2422" w:name="_MON_1328690616"/>
    <w:bookmarkStart w:id="2423" w:name="_MON_1355313002"/>
    <w:bookmarkStart w:id="2424" w:name="_MON_1359545036"/>
    <w:bookmarkStart w:id="2425" w:name="_MON_1360496970"/>
    <w:bookmarkStart w:id="2426" w:name="_MON_1361172135"/>
    <w:bookmarkStart w:id="2427" w:name="_MON_1361345399"/>
    <w:bookmarkStart w:id="2428" w:name="_MON_1364039720"/>
    <w:bookmarkStart w:id="2429" w:name="_MON_1364039943"/>
    <w:bookmarkStart w:id="2430" w:name="_MON_1372083168"/>
    <w:bookmarkStart w:id="2431" w:name="_MON_1372083232"/>
    <w:bookmarkStart w:id="2432" w:name="_MON_1372083244"/>
    <w:bookmarkStart w:id="2433" w:name="_MON_1372250482"/>
    <w:bookmarkStart w:id="2434" w:name="_MON_1380185986"/>
    <w:bookmarkStart w:id="2435" w:name="_MON_1380447821"/>
    <w:bookmarkStart w:id="2436" w:name="_MON_1387463698"/>
    <w:bookmarkStart w:id="2437" w:name="_MON_1388243156"/>
    <w:bookmarkStart w:id="2438" w:name="_MON_1395046599"/>
    <w:bookmarkStart w:id="2439" w:name="_MON_1395725814"/>
    <w:bookmarkStart w:id="2440" w:name="_MON_1396098072"/>
    <w:bookmarkStart w:id="2441" w:name="_MON_1424766283"/>
    <w:bookmarkStart w:id="2442" w:name="_MON_1427010531"/>
    <w:bookmarkStart w:id="2443" w:name="_MON_1456744478"/>
    <w:bookmarkStart w:id="2444" w:name="OLE_LINK29"/>
    <w:bookmarkStart w:id="2445" w:name="OLE_LINK30"/>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Start w:id="2446" w:name="_MON_1458714902"/>
    <w:bookmarkEnd w:id="2446"/>
    <w:p w14:paraId="511EF7F1" w14:textId="76D8C5AB" w:rsidR="00B37323" w:rsidRPr="0088338F" w:rsidRDefault="00DB5A3D" w:rsidP="00442A83">
      <w:pPr>
        <w:pStyle w:val="NormlnyArial"/>
        <w:rPr>
          <w:szCs w:val="20"/>
        </w:rPr>
      </w:pPr>
      <w:r w:rsidRPr="0088338F">
        <w:object w:dxaOrig="10079" w:dyaOrig="2521" w14:anchorId="5C6BE14E">
          <v:shape id="_x0000_i1107" type="#_x0000_t75" style="width:450pt;height:129.6pt" o:ole="" o:preferrelative="f">
            <v:imagedata r:id="rId194" o:title=""/>
            <o:lock v:ext="edit" aspectratio="f"/>
          </v:shape>
          <o:OLEObject Type="Embed" ProgID="Excel.Sheet.8" ShapeID="_x0000_i1107" DrawAspect="Content" ObjectID="_1551591608" r:id="rId195"/>
        </w:object>
      </w:r>
      <w:bookmarkEnd w:id="2444"/>
      <w:bookmarkEnd w:id="2445"/>
    </w:p>
    <w:p w14:paraId="2C1AC520" w14:textId="4AD7AA5A" w:rsidR="00A27E93" w:rsidRPr="0088338F" w:rsidRDefault="00A27E93" w:rsidP="00442A83">
      <w:pPr>
        <w:pStyle w:val="NormlnyArial"/>
        <w:rPr>
          <w:szCs w:val="20"/>
        </w:rPr>
      </w:pPr>
    </w:p>
    <w:p w14:paraId="1A0917AC" w14:textId="58842A4A" w:rsidR="00442A83" w:rsidRPr="0088338F" w:rsidRDefault="00442A83" w:rsidP="00442A83">
      <w:pPr>
        <w:pStyle w:val="NormlnyArial"/>
      </w:pPr>
      <w:r w:rsidRPr="0088338F">
        <w:t>Spôsob stanovenia reálnej hodnoty pri vybraných finančných aktívach k 31.</w:t>
      </w:r>
      <w:r w:rsidR="00B37323" w:rsidRPr="0088338F">
        <w:t xml:space="preserve"> decembru </w:t>
      </w:r>
      <w:r w:rsidRPr="0088338F">
        <w:t>20</w:t>
      </w:r>
      <w:r w:rsidR="004C0B86" w:rsidRPr="0088338F">
        <w:t>1</w:t>
      </w:r>
      <w:r w:rsidR="00E7157E" w:rsidRPr="0088338F">
        <w:t>5</w:t>
      </w:r>
      <w:r w:rsidRPr="0088338F">
        <w:t>:</w:t>
      </w:r>
    </w:p>
    <w:p w14:paraId="7F032A3E" w14:textId="39D18F4F" w:rsidR="00A27E93" w:rsidRPr="0088338F" w:rsidRDefault="00E7157E" w:rsidP="00FA7776">
      <w:pPr>
        <w:pStyle w:val="NormlnyArial"/>
      </w:pPr>
      <w:r w:rsidRPr="0088338F">
        <w:object w:dxaOrig="10106" w:dyaOrig="3263" w14:anchorId="4F071F38">
          <v:shape id="_x0000_i1108" type="#_x0000_t75" style="width:453pt;height:167.4pt" o:ole="" o:preferrelative="f">
            <v:imagedata r:id="rId196" o:title=""/>
            <o:lock v:ext="edit" aspectratio="f"/>
          </v:shape>
          <o:OLEObject Type="Embed" ProgID="Excel.Sheet.8" ShapeID="_x0000_i1108" DrawAspect="Content" ObjectID="_1551591609" r:id="rId197"/>
        </w:object>
      </w:r>
    </w:p>
    <w:p w14:paraId="3B241B49" w14:textId="77777777" w:rsidR="008465CF" w:rsidRPr="0088338F" w:rsidRDefault="008465CF">
      <w:pPr>
        <w:rPr>
          <w:rFonts w:ascii="Arial" w:hAnsi="Arial" w:cs="Arial"/>
          <w:sz w:val="20"/>
        </w:rPr>
      </w:pPr>
      <w:r w:rsidRPr="0088338F">
        <w:br w:type="page"/>
      </w:r>
    </w:p>
    <w:p w14:paraId="37788097" w14:textId="198FC277" w:rsidR="00972D0A" w:rsidRPr="0088338F" w:rsidRDefault="00972D0A" w:rsidP="00FA7776">
      <w:pPr>
        <w:pStyle w:val="NormlnyArial"/>
      </w:pPr>
      <w:r w:rsidRPr="0088338F">
        <w:lastRenderedPageBreak/>
        <w:t>Pri odhade reálnych hodnôt finančných aktív a finančných záväzkov banky boli použité nasledovné metódy a predpoklady:</w:t>
      </w:r>
    </w:p>
    <w:p w14:paraId="24E9E245" w14:textId="758B2FAB" w:rsidR="00271A91" w:rsidRPr="0088338F" w:rsidRDefault="00271A91">
      <w:pPr>
        <w:rPr>
          <w:rFonts w:ascii="Arial" w:hAnsi="Arial" w:cs="Arial"/>
          <w:sz w:val="20"/>
        </w:rPr>
      </w:pPr>
    </w:p>
    <w:p w14:paraId="3B9A3A7F" w14:textId="77777777" w:rsidR="0091208F" w:rsidRPr="0088338F" w:rsidRDefault="0091208F" w:rsidP="0091208F">
      <w:pPr>
        <w:jc w:val="both"/>
        <w:rPr>
          <w:rFonts w:ascii="Arial" w:hAnsi="Arial" w:cs="Arial"/>
          <w:b/>
          <w:sz w:val="20"/>
        </w:rPr>
      </w:pPr>
      <w:r w:rsidRPr="0088338F">
        <w:rPr>
          <w:rFonts w:ascii="Arial" w:hAnsi="Arial" w:cs="Arial"/>
          <w:b/>
          <w:sz w:val="20"/>
        </w:rPr>
        <w:t>Peniaze a pohľadávky voči centrálnym bankám</w:t>
      </w:r>
    </w:p>
    <w:p w14:paraId="26C2F447" w14:textId="77777777" w:rsidR="0091208F" w:rsidRPr="0088338F" w:rsidRDefault="0091208F" w:rsidP="0091208F">
      <w:pPr>
        <w:jc w:val="both"/>
        <w:rPr>
          <w:rFonts w:ascii="Arial" w:hAnsi="Arial" w:cs="Arial"/>
          <w:sz w:val="20"/>
        </w:rPr>
      </w:pPr>
      <w:r w:rsidRPr="0088338F">
        <w:rPr>
          <w:rFonts w:ascii="Arial" w:hAnsi="Arial" w:cs="Arial"/>
          <w:sz w:val="20"/>
        </w:rPr>
        <w:t>Účtovnú hodnotu peňazí a pohľadávok voči centrálnym bankám možno považovať za ich približnú reálnu hodnotu.</w:t>
      </w:r>
    </w:p>
    <w:p w14:paraId="20220EFA" w14:textId="73378101" w:rsidR="00DE6DC7" w:rsidRPr="0088338F" w:rsidRDefault="00DE6DC7">
      <w:pPr>
        <w:rPr>
          <w:rFonts w:ascii="Arial" w:hAnsi="Arial" w:cs="Arial"/>
          <w:sz w:val="20"/>
        </w:rPr>
      </w:pPr>
    </w:p>
    <w:p w14:paraId="55A555B9" w14:textId="77777777" w:rsidR="0091208F" w:rsidRPr="0088338F" w:rsidRDefault="0091208F" w:rsidP="0091208F">
      <w:pPr>
        <w:jc w:val="both"/>
        <w:rPr>
          <w:rFonts w:ascii="Arial" w:hAnsi="Arial" w:cs="Arial"/>
          <w:b/>
          <w:sz w:val="20"/>
        </w:rPr>
      </w:pPr>
      <w:r w:rsidRPr="0088338F">
        <w:rPr>
          <w:rFonts w:ascii="Arial" w:hAnsi="Arial" w:cs="Arial"/>
          <w:b/>
          <w:sz w:val="20"/>
        </w:rPr>
        <w:t>Pohľadávky voči bankám</w:t>
      </w:r>
    </w:p>
    <w:p w14:paraId="42D6904B" w14:textId="77777777" w:rsidR="0091208F" w:rsidRPr="0088338F" w:rsidRDefault="0091208F" w:rsidP="0091208F">
      <w:pPr>
        <w:jc w:val="both"/>
        <w:rPr>
          <w:rFonts w:ascii="Arial" w:hAnsi="Arial" w:cs="Arial"/>
          <w:sz w:val="20"/>
        </w:rPr>
      </w:pPr>
      <w:r w:rsidRPr="0088338F">
        <w:rPr>
          <w:rFonts w:ascii="Arial" w:hAnsi="Arial" w:cs="Arial"/>
          <w:sz w:val="20"/>
        </w:rPr>
        <w:t>Reálne hodnoty zostatkov bežných účtov iných bánk sa približne rovnajú ich účtovnej hodnote. Pri účtoch, ktoré majú zostatkovú dobu splatnosti kratšiu ako tri mesiace, je vhodné považovať ich účtovnú hodnotu za približnú reálnu hodnotu. Reálne hodnoty ostatných pohľadávok voči bankám sú vypočítané diskontovaním budúcich peňažných tokov s použitím aktuálnych medzibankových sadzieb.</w:t>
      </w:r>
    </w:p>
    <w:p w14:paraId="3C6A7147" w14:textId="77777777" w:rsidR="0091208F" w:rsidRPr="0088338F" w:rsidRDefault="0091208F" w:rsidP="0091208F">
      <w:pPr>
        <w:jc w:val="both"/>
        <w:rPr>
          <w:rFonts w:ascii="Arial" w:hAnsi="Arial" w:cs="Arial"/>
          <w:sz w:val="20"/>
        </w:rPr>
      </w:pPr>
    </w:p>
    <w:p w14:paraId="5A887713" w14:textId="77777777" w:rsidR="00FA7776" w:rsidRPr="0088338F" w:rsidRDefault="00FA7776" w:rsidP="00FA7776">
      <w:pPr>
        <w:jc w:val="both"/>
        <w:rPr>
          <w:rFonts w:ascii="Arial" w:hAnsi="Arial" w:cs="Arial"/>
          <w:b/>
          <w:sz w:val="20"/>
        </w:rPr>
      </w:pPr>
      <w:r w:rsidRPr="0088338F">
        <w:rPr>
          <w:rFonts w:ascii="Arial" w:hAnsi="Arial" w:cs="Arial"/>
          <w:b/>
          <w:sz w:val="20"/>
        </w:rPr>
        <w:t>Pohľadávky voči klientom</w:t>
      </w:r>
    </w:p>
    <w:p w14:paraId="404CFC47" w14:textId="77777777" w:rsidR="00FA7776" w:rsidRPr="0088338F" w:rsidRDefault="00FA7776" w:rsidP="00FA7776">
      <w:pPr>
        <w:jc w:val="both"/>
        <w:rPr>
          <w:rFonts w:ascii="Arial" w:hAnsi="Arial" w:cs="Arial"/>
          <w:sz w:val="20"/>
        </w:rPr>
      </w:pPr>
      <w:r w:rsidRPr="0088338F">
        <w:rPr>
          <w:rFonts w:ascii="Arial" w:hAnsi="Arial" w:cs="Arial"/>
          <w:sz w:val="20"/>
        </w:rPr>
        <w:t xml:space="preserve">Pohľadávky voči klientom sú uvádzané netto, teda po odpočítaní opravných položiek k pohľadávkam. Reálne hodnoty pohľadávok voči klientom sú vypočítané diskontovaním budúcich peňažných tokov použitím </w:t>
      </w:r>
      <w:r w:rsidRPr="0088338F">
        <w:rPr>
          <w:rFonts w:ascii="Arial" w:hAnsi="Arial" w:cs="Arial"/>
          <w:snapToGrid w:val="0"/>
          <w:sz w:val="20"/>
        </w:rPr>
        <w:t>aktuálnych trhových úrokových sadzieb zvýšených o aktualizovanú rizikovú úrokovú maržu (úroveň 2).</w:t>
      </w:r>
    </w:p>
    <w:p w14:paraId="64770A9B" w14:textId="77777777" w:rsidR="00FA7776" w:rsidRPr="0088338F" w:rsidRDefault="00FA7776" w:rsidP="00FA7776">
      <w:pPr>
        <w:jc w:val="both"/>
        <w:rPr>
          <w:rFonts w:ascii="Arial" w:hAnsi="Arial" w:cs="Arial"/>
          <w:sz w:val="20"/>
        </w:rPr>
      </w:pPr>
    </w:p>
    <w:p w14:paraId="45DEBBD8" w14:textId="77777777" w:rsidR="00FA7776" w:rsidRPr="0088338F" w:rsidRDefault="00FA7776" w:rsidP="00FA7776">
      <w:pPr>
        <w:jc w:val="both"/>
        <w:rPr>
          <w:rFonts w:ascii="Arial" w:hAnsi="Arial" w:cs="Arial"/>
          <w:b/>
          <w:sz w:val="20"/>
        </w:rPr>
      </w:pPr>
      <w:r w:rsidRPr="0088338F">
        <w:rPr>
          <w:rFonts w:ascii="Arial" w:hAnsi="Arial" w:cs="Arial"/>
          <w:b/>
          <w:sz w:val="20"/>
        </w:rPr>
        <w:t>Cenné papiere k dispozícii na predaj</w:t>
      </w:r>
    </w:p>
    <w:p w14:paraId="0CD917A7" w14:textId="77777777" w:rsidR="00FA7776" w:rsidRPr="0088338F" w:rsidRDefault="00FA7776" w:rsidP="00FA7776">
      <w:pPr>
        <w:jc w:val="both"/>
        <w:rPr>
          <w:rFonts w:ascii="Arial" w:hAnsi="Arial" w:cs="Arial"/>
          <w:sz w:val="20"/>
        </w:rPr>
      </w:pPr>
      <w:r w:rsidRPr="0088338F">
        <w:rPr>
          <w:rFonts w:ascii="Arial" w:hAnsi="Arial" w:cs="Arial"/>
          <w:sz w:val="20"/>
        </w:rPr>
        <w:t>Cenné papiere k dispozícii na predaj sú vykázané v kótovaných trhových hodnotách (úroveň 1). Ak nie je kótovaná trhová cena k dispozícii alebo neexistuje aktívny trh pre daný finančný nástroj, reálna hodnota finančného nástroja sa stanoví pomocou oceňovacích metód (úroveň 2 a úroveň 3). Spôsob stanovenia reálnej hodnoty finančných nástrojov je bližšie popísaný v časti (2.5) poznámok.</w:t>
      </w:r>
    </w:p>
    <w:p w14:paraId="7F6D0E66" w14:textId="77777777" w:rsidR="00FA7776" w:rsidRPr="0088338F" w:rsidRDefault="00FA7776" w:rsidP="00FA7776">
      <w:pPr>
        <w:jc w:val="both"/>
        <w:rPr>
          <w:rFonts w:ascii="Arial" w:hAnsi="Arial" w:cs="Arial"/>
          <w:bCs/>
          <w:iCs/>
          <w:sz w:val="20"/>
        </w:rPr>
      </w:pPr>
    </w:p>
    <w:p w14:paraId="15CE49C1" w14:textId="77777777" w:rsidR="00FA7776" w:rsidRPr="0088338F" w:rsidRDefault="00FA7776" w:rsidP="00FA7776">
      <w:pPr>
        <w:jc w:val="both"/>
        <w:rPr>
          <w:rFonts w:ascii="Arial" w:hAnsi="Arial" w:cs="Arial"/>
          <w:b/>
          <w:sz w:val="20"/>
        </w:rPr>
      </w:pPr>
      <w:r w:rsidRPr="0088338F">
        <w:rPr>
          <w:rFonts w:ascii="Arial" w:hAnsi="Arial" w:cs="Arial"/>
          <w:b/>
          <w:sz w:val="20"/>
        </w:rPr>
        <w:t>Cenné papiere vykazované v reálnych hodnotách cez výsledovku</w:t>
      </w:r>
    </w:p>
    <w:p w14:paraId="25F03DC4" w14:textId="77777777" w:rsidR="00FA7776" w:rsidRPr="0088338F" w:rsidRDefault="00FA7776" w:rsidP="00FA7776">
      <w:pPr>
        <w:jc w:val="both"/>
        <w:rPr>
          <w:rFonts w:ascii="Arial" w:hAnsi="Arial" w:cs="Arial"/>
          <w:sz w:val="20"/>
        </w:rPr>
      </w:pPr>
      <w:r w:rsidRPr="0088338F">
        <w:rPr>
          <w:rFonts w:ascii="Arial" w:hAnsi="Arial" w:cs="Arial"/>
          <w:sz w:val="20"/>
        </w:rPr>
        <w:t>Cenné papiere vykazované v reálnych hodnotách cez výsledovku sú vykázané v kótovaných trhových hodnotách (úroveň 1). Ak nie je kótovaná trhová cena k dispozícii alebo neexistuje aktívny trh pre daný finančný nástroj, reálna hodnota finančného nástroja sa stanoví pomocou oceňovacích metód (úroveň 2 a úroveň 3). Spôsob stanovenia reálnej hodnoty finančných nástrojov je bližšie popísaný v časti (2.5) poznámok.</w:t>
      </w:r>
    </w:p>
    <w:p w14:paraId="0C7E5B14" w14:textId="77777777" w:rsidR="00FA7776" w:rsidRPr="0088338F" w:rsidRDefault="00FA7776" w:rsidP="00FA7776">
      <w:pPr>
        <w:jc w:val="both"/>
        <w:rPr>
          <w:rFonts w:ascii="Arial" w:hAnsi="Arial" w:cs="Arial"/>
          <w:bCs/>
          <w:iCs/>
          <w:sz w:val="20"/>
        </w:rPr>
      </w:pPr>
    </w:p>
    <w:p w14:paraId="6678BDB1" w14:textId="77777777" w:rsidR="00FA7776" w:rsidRPr="0088338F" w:rsidRDefault="00FA7776" w:rsidP="00FA7776">
      <w:pPr>
        <w:jc w:val="both"/>
        <w:rPr>
          <w:rFonts w:ascii="Arial" w:hAnsi="Arial" w:cs="Arial"/>
          <w:b/>
          <w:sz w:val="20"/>
        </w:rPr>
      </w:pPr>
      <w:r w:rsidRPr="0088338F">
        <w:rPr>
          <w:rFonts w:ascii="Arial" w:hAnsi="Arial" w:cs="Arial"/>
          <w:b/>
          <w:sz w:val="20"/>
        </w:rPr>
        <w:t>Cenné papiere držané do splatnosti</w:t>
      </w:r>
    </w:p>
    <w:p w14:paraId="41122EAE" w14:textId="77777777" w:rsidR="00FA7776" w:rsidRPr="0088338F" w:rsidRDefault="00FA7776" w:rsidP="00FA7776">
      <w:pPr>
        <w:jc w:val="both"/>
        <w:rPr>
          <w:rFonts w:ascii="Arial" w:hAnsi="Arial" w:cs="Arial"/>
          <w:sz w:val="20"/>
        </w:rPr>
      </w:pPr>
      <w:r w:rsidRPr="0088338F">
        <w:rPr>
          <w:rFonts w:ascii="Arial" w:hAnsi="Arial" w:cs="Arial"/>
          <w:sz w:val="20"/>
        </w:rPr>
        <w:t>Cenné papiere držané do splatnosti sú vykázané v kótovaných trhových hodnotách (úroveň 1). Ak nie je kótovaná trhová cena k dispozícii alebo neexistuje aktívny trh pre daný finančný nástroj, reálna hodnota finančného nástroja sa stanoví pomocou oceňovacích metód (úroveň 2 a úroveň 3). Spôsob stanovenia reálnej hodnoty finančných nástrojov je bližšie popísaný v časti (2.5) poznámok.</w:t>
      </w:r>
    </w:p>
    <w:p w14:paraId="71959AF4" w14:textId="380AAAF2" w:rsidR="0091208F" w:rsidRPr="0088338F" w:rsidRDefault="0091208F" w:rsidP="0091208F">
      <w:pPr>
        <w:jc w:val="both"/>
        <w:rPr>
          <w:rFonts w:ascii="Arial" w:hAnsi="Arial" w:cs="Arial"/>
          <w:bCs/>
          <w:iCs/>
          <w:sz w:val="20"/>
        </w:rPr>
      </w:pPr>
    </w:p>
    <w:p w14:paraId="1366895D" w14:textId="77777777" w:rsidR="0091208F" w:rsidRPr="0088338F" w:rsidRDefault="0091208F" w:rsidP="0091208F">
      <w:pPr>
        <w:jc w:val="both"/>
        <w:rPr>
          <w:rFonts w:ascii="Arial" w:hAnsi="Arial" w:cs="Arial"/>
          <w:b/>
          <w:bCs/>
          <w:iCs/>
          <w:sz w:val="20"/>
        </w:rPr>
      </w:pPr>
      <w:r w:rsidRPr="0088338F">
        <w:rPr>
          <w:rFonts w:ascii="Arial" w:hAnsi="Arial" w:cs="Arial"/>
          <w:b/>
          <w:bCs/>
          <w:iCs/>
          <w:sz w:val="20"/>
        </w:rPr>
        <w:t>Investície v dcérskych spoločnostiach</w:t>
      </w:r>
    </w:p>
    <w:p w14:paraId="5FB07F0A" w14:textId="77777777" w:rsidR="0091208F" w:rsidRPr="0088338F" w:rsidRDefault="0091208F" w:rsidP="0091208F">
      <w:pPr>
        <w:jc w:val="both"/>
        <w:rPr>
          <w:rFonts w:ascii="Arial" w:hAnsi="Arial" w:cs="Arial"/>
          <w:b/>
          <w:sz w:val="20"/>
        </w:rPr>
      </w:pPr>
      <w:r w:rsidRPr="0088338F">
        <w:rPr>
          <w:rFonts w:ascii="Arial" w:hAnsi="Arial" w:cs="Arial"/>
          <w:bCs/>
          <w:iCs/>
          <w:sz w:val="20"/>
        </w:rPr>
        <w:t>Čistá hodnota aktív sa približuje k reálnej hodnote.</w:t>
      </w:r>
    </w:p>
    <w:p w14:paraId="11067CB3" w14:textId="77777777" w:rsidR="0094211B" w:rsidRPr="0088338F" w:rsidRDefault="0094211B" w:rsidP="0091208F">
      <w:pPr>
        <w:jc w:val="both"/>
        <w:rPr>
          <w:rFonts w:ascii="Arial" w:hAnsi="Arial" w:cs="Arial"/>
          <w:b/>
          <w:sz w:val="20"/>
        </w:rPr>
      </w:pPr>
    </w:p>
    <w:p w14:paraId="40EA9F3E" w14:textId="77777777" w:rsidR="0091208F" w:rsidRPr="0088338F" w:rsidRDefault="0091208F" w:rsidP="0091208F">
      <w:pPr>
        <w:jc w:val="both"/>
        <w:rPr>
          <w:rFonts w:ascii="Arial" w:hAnsi="Arial" w:cs="Arial"/>
          <w:b/>
          <w:sz w:val="20"/>
        </w:rPr>
      </w:pPr>
      <w:r w:rsidRPr="0088338F">
        <w:rPr>
          <w:rFonts w:ascii="Arial" w:hAnsi="Arial" w:cs="Arial"/>
          <w:b/>
          <w:sz w:val="20"/>
        </w:rPr>
        <w:t>Záväzky voči bankám</w:t>
      </w:r>
    </w:p>
    <w:p w14:paraId="03EBDA8E" w14:textId="77777777" w:rsidR="0091208F" w:rsidRPr="0088338F" w:rsidRDefault="0091208F" w:rsidP="0091208F">
      <w:pPr>
        <w:jc w:val="both"/>
        <w:rPr>
          <w:rFonts w:ascii="Arial" w:hAnsi="Arial" w:cs="Arial"/>
          <w:snapToGrid w:val="0"/>
          <w:sz w:val="20"/>
        </w:rPr>
      </w:pPr>
      <w:r w:rsidRPr="0088338F">
        <w:rPr>
          <w:rFonts w:ascii="Arial" w:hAnsi="Arial" w:cs="Arial"/>
          <w:sz w:val="20"/>
        </w:rPr>
        <w:t>Reálne hodnoty bežných účtov iných bánk sa približne rovnajú ich účtovnej hodnote. Pri ostatných záväzkoch voči bankám so zostatkovou dobou splatnosti menej ako tri mesiace je taktiež vhodné</w:t>
      </w:r>
      <w:r w:rsidR="001800EE" w:rsidRPr="0088338F">
        <w:rPr>
          <w:rFonts w:ascii="Arial" w:hAnsi="Arial" w:cs="Arial"/>
          <w:sz w:val="20"/>
        </w:rPr>
        <w:t xml:space="preserve"> </w:t>
      </w:r>
      <w:r w:rsidRPr="0088338F">
        <w:rPr>
          <w:rFonts w:ascii="Arial" w:hAnsi="Arial" w:cs="Arial"/>
          <w:sz w:val="20"/>
        </w:rPr>
        <w:t>použiť účtovnú hodnotu ako približnú reálnu hodnotu. Reálne</w:t>
      </w:r>
      <w:r w:rsidRPr="0088338F">
        <w:rPr>
          <w:rFonts w:ascii="Arial" w:hAnsi="Arial" w:cs="Arial"/>
          <w:snapToGrid w:val="0"/>
          <w:sz w:val="20"/>
        </w:rPr>
        <w:t xml:space="preserve"> hodnoty ostatných vkladov bánk sú vypočítané diskontovaním budúcich peňažných tokov pri použití platných medzibankových sadzieb.</w:t>
      </w:r>
    </w:p>
    <w:p w14:paraId="0A2C2293" w14:textId="77777777" w:rsidR="009911FB" w:rsidRPr="0088338F" w:rsidRDefault="009911FB" w:rsidP="0091208F">
      <w:pPr>
        <w:jc w:val="both"/>
        <w:rPr>
          <w:rFonts w:ascii="Arial" w:hAnsi="Arial" w:cs="Arial"/>
          <w:sz w:val="20"/>
        </w:rPr>
      </w:pPr>
    </w:p>
    <w:p w14:paraId="5A372297" w14:textId="77777777" w:rsidR="0091208F" w:rsidRPr="0088338F" w:rsidRDefault="0091208F" w:rsidP="0091208F">
      <w:pPr>
        <w:jc w:val="both"/>
        <w:rPr>
          <w:rFonts w:ascii="Arial" w:hAnsi="Arial" w:cs="Arial"/>
          <w:b/>
          <w:sz w:val="20"/>
        </w:rPr>
      </w:pPr>
      <w:r w:rsidRPr="0088338F">
        <w:rPr>
          <w:rFonts w:ascii="Arial" w:hAnsi="Arial" w:cs="Arial"/>
          <w:b/>
          <w:sz w:val="20"/>
        </w:rPr>
        <w:t>Záväzky voči klientom</w:t>
      </w:r>
    </w:p>
    <w:p w14:paraId="1036D5BF" w14:textId="77777777" w:rsidR="0091208F" w:rsidRPr="0088338F" w:rsidRDefault="0091208F" w:rsidP="0091208F">
      <w:pPr>
        <w:jc w:val="both"/>
        <w:rPr>
          <w:rFonts w:ascii="Arial" w:hAnsi="Arial" w:cs="Arial"/>
          <w:sz w:val="20"/>
        </w:rPr>
      </w:pPr>
      <w:r w:rsidRPr="0088338F">
        <w:rPr>
          <w:rFonts w:ascii="Arial" w:hAnsi="Arial" w:cs="Arial"/>
          <w:sz w:val="20"/>
        </w:rPr>
        <w:t>Reálne</w:t>
      </w:r>
      <w:r w:rsidRPr="0088338F">
        <w:rPr>
          <w:rFonts w:ascii="Arial" w:hAnsi="Arial" w:cs="Arial"/>
          <w:snapToGrid w:val="0"/>
          <w:sz w:val="20"/>
        </w:rPr>
        <w:t xml:space="preserve"> hodnoty záväzkov voči klientom sú vypočítané diskontovaním budúcich peňažných tokov pri použití trhových sadzieb aktuálnych ku koncu rokov.</w:t>
      </w:r>
    </w:p>
    <w:p w14:paraId="22B2C087" w14:textId="77777777" w:rsidR="0091208F" w:rsidRPr="0088338F" w:rsidRDefault="0091208F" w:rsidP="0091208F">
      <w:pPr>
        <w:pStyle w:val="NormlnyArial"/>
      </w:pPr>
    </w:p>
    <w:p w14:paraId="3E90C11A" w14:textId="77777777" w:rsidR="0091208F" w:rsidRPr="0088338F" w:rsidRDefault="0091208F" w:rsidP="0091208F">
      <w:pPr>
        <w:jc w:val="both"/>
        <w:rPr>
          <w:rFonts w:ascii="Arial" w:hAnsi="Arial" w:cs="Arial"/>
          <w:b/>
          <w:sz w:val="20"/>
        </w:rPr>
      </w:pPr>
      <w:r w:rsidRPr="0088338F">
        <w:rPr>
          <w:rFonts w:ascii="Arial" w:hAnsi="Arial" w:cs="Arial"/>
          <w:b/>
          <w:sz w:val="20"/>
        </w:rPr>
        <w:t>Záväzky z dlhových cenných papierov</w:t>
      </w:r>
    </w:p>
    <w:p w14:paraId="524CD5EA" w14:textId="77777777" w:rsidR="0091208F" w:rsidRPr="0088338F" w:rsidRDefault="0091208F" w:rsidP="0091208F">
      <w:pPr>
        <w:jc w:val="both"/>
        <w:rPr>
          <w:rFonts w:ascii="Arial" w:hAnsi="Arial" w:cs="Arial"/>
          <w:sz w:val="20"/>
        </w:rPr>
      </w:pPr>
      <w:r w:rsidRPr="0088338F">
        <w:rPr>
          <w:rFonts w:ascii="Arial" w:hAnsi="Arial" w:cs="Arial"/>
          <w:sz w:val="20"/>
        </w:rPr>
        <w:t>Reálne</w:t>
      </w:r>
      <w:r w:rsidRPr="0088338F">
        <w:rPr>
          <w:rFonts w:ascii="Arial" w:hAnsi="Arial" w:cs="Arial"/>
          <w:snapToGrid w:val="0"/>
          <w:sz w:val="20"/>
        </w:rPr>
        <w:t xml:space="preserve"> hodnoty záväzkov z dlhových cenných papierov sú vypočítané diskontovaním budúcich peňažných tokov pri použití trhových sadzieb aktuálnych ku koncu rokov.</w:t>
      </w:r>
    </w:p>
    <w:p w14:paraId="68B7592F" w14:textId="77777777" w:rsidR="00E13237" w:rsidRPr="0088338F" w:rsidRDefault="00E13237" w:rsidP="00F67A4E">
      <w:pPr>
        <w:pStyle w:val="NormlnyArial"/>
      </w:pPr>
    </w:p>
    <w:p w14:paraId="5CE53E7C" w14:textId="77777777" w:rsidR="00F67A4E" w:rsidRPr="0088338F" w:rsidRDefault="00F67A4E" w:rsidP="00F67A4E">
      <w:pPr>
        <w:pStyle w:val="NormlnyArial"/>
      </w:pPr>
    </w:p>
    <w:p w14:paraId="10F473B9" w14:textId="77777777" w:rsidR="008465CF" w:rsidRPr="0088338F" w:rsidRDefault="008465CF">
      <w:pPr>
        <w:rPr>
          <w:rFonts w:ascii="Arial" w:hAnsi="Arial" w:cs="Arial"/>
          <w:b/>
          <w:caps/>
          <w:sz w:val="20"/>
          <w:szCs w:val="20"/>
        </w:rPr>
      </w:pPr>
      <w:r w:rsidRPr="0088338F">
        <w:rPr>
          <w:rFonts w:ascii="Arial" w:hAnsi="Arial" w:cs="Arial"/>
          <w:b/>
          <w:caps/>
          <w:sz w:val="20"/>
          <w:szCs w:val="20"/>
        </w:rPr>
        <w:br w:type="page"/>
      </w:r>
    </w:p>
    <w:p w14:paraId="619AEFCA" w14:textId="335CFA20" w:rsidR="0028477A" w:rsidRPr="0088338F" w:rsidRDefault="0028477A" w:rsidP="00E564A7">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lastRenderedPageBreak/>
        <w:t>významné udalosti po dni, ku ktorému sa zostavuje účtovná závierka</w:t>
      </w:r>
    </w:p>
    <w:p w14:paraId="0FEE02EF" w14:textId="77777777" w:rsidR="00A5134A" w:rsidRPr="0088338F" w:rsidRDefault="00A5134A" w:rsidP="00F67A4E">
      <w:pPr>
        <w:pStyle w:val="NormlnyArial"/>
      </w:pPr>
    </w:p>
    <w:p w14:paraId="075957EA" w14:textId="7537FE7E" w:rsidR="00271A91" w:rsidRPr="0088338F" w:rsidRDefault="004E206E" w:rsidP="001F4B78">
      <w:pPr>
        <w:pStyle w:val="NormlnyArial"/>
      </w:pPr>
      <w:r w:rsidRPr="0088338F">
        <w:t>K dátumu zostavenia tejto účtovnej závierky sa nevyskytli žiadne významné udalosti, ktoré by si vyžadovali významnú úpravu údajov alebo informácií zverejnených v tejto účtovnej závierke k </w:t>
      </w:r>
      <w:r w:rsidR="001F4B78" w:rsidRPr="0088338F">
        <w:t>31</w:t>
      </w:r>
      <w:r w:rsidR="00D31E6D" w:rsidRPr="0088338F">
        <w:t>. </w:t>
      </w:r>
      <w:r w:rsidRPr="0088338F">
        <w:t xml:space="preserve">decembru </w:t>
      </w:r>
      <w:r w:rsidR="001F4B78" w:rsidRPr="0088338F">
        <w:t>20</w:t>
      </w:r>
      <w:r w:rsidR="00D60D0A" w:rsidRPr="0088338F">
        <w:t>1</w:t>
      </w:r>
      <w:r w:rsidR="00E7157E" w:rsidRPr="0088338F">
        <w:t>6</w:t>
      </w:r>
      <w:r w:rsidR="001F4B78" w:rsidRPr="0088338F">
        <w:t>.</w:t>
      </w:r>
    </w:p>
    <w:p w14:paraId="3E54A3E3" w14:textId="77777777" w:rsidR="00DE6DC7" w:rsidRPr="0088338F" w:rsidRDefault="00DE6DC7" w:rsidP="001F4B78">
      <w:pPr>
        <w:pStyle w:val="NormlnyArial"/>
      </w:pPr>
    </w:p>
    <w:p w14:paraId="2625D4CE" w14:textId="0D08285F" w:rsidR="008E6838" w:rsidRPr="0088338F" w:rsidRDefault="008E6838">
      <w:pPr>
        <w:rPr>
          <w:rFonts w:ascii="Arial" w:hAnsi="Arial" w:cs="Arial"/>
          <w:b/>
          <w:caps/>
          <w:sz w:val="20"/>
          <w:szCs w:val="20"/>
        </w:rPr>
      </w:pPr>
    </w:p>
    <w:p w14:paraId="098E6242" w14:textId="671B8763" w:rsidR="00B9692A" w:rsidRPr="0088338F" w:rsidRDefault="00B9692A" w:rsidP="00B9692A">
      <w:pPr>
        <w:numPr>
          <w:ilvl w:val="0"/>
          <w:numId w:val="3"/>
        </w:numPr>
        <w:tabs>
          <w:tab w:val="clear" w:pos="720"/>
          <w:tab w:val="left" w:pos="567"/>
        </w:tabs>
        <w:ind w:left="567" w:hanging="567"/>
        <w:jc w:val="both"/>
        <w:rPr>
          <w:rFonts w:ascii="Arial" w:hAnsi="Arial" w:cs="Arial"/>
          <w:b/>
          <w:caps/>
          <w:sz w:val="20"/>
          <w:szCs w:val="20"/>
        </w:rPr>
      </w:pPr>
      <w:r w:rsidRPr="0088338F">
        <w:rPr>
          <w:rFonts w:ascii="Arial" w:hAnsi="Arial" w:cs="Arial"/>
          <w:b/>
          <w:caps/>
          <w:sz w:val="20"/>
          <w:szCs w:val="20"/>
        </w:rPr>
        <w:t>schválenie účtovnej závierky</w:t>
      </w:r>
    </w:p>
    <w:p w14:paraId="365C44EF" w14:textId="77777777" w:rsidR="00B9692A" w:rsidRPr="0088338F" w:rsidRDefault="00B9692A" w:rsidP="00B9692A">
      <w:pPr>
        <w:pStyle w:val="NormlnyArial"/>
      </w:pPr>
    </w:p>
    <w:p w14:paraId="0CCD5F31" w14:textId="4554B3A7" w:rsidR="00B9692A" w:rsidRDefault="00D96D0F" w:rsidP="00B9692A">
      <w:pPr>
        <w:pStyle w:val="NormlnyArial"/>
      </w:pPr>
      <w:r w:rsidRPr="0088338F">
        <w:t xml:space="preserve">Účtovnú závierku </w:t>
      </w:r>
      <w:r w:rsidR="004A4DC2" w:rsidRPr="0088338F">
        <w:t xml:space="preserve">podpísalo </w:t>
      </w:r>
      <w:r w:rsidRPr="0088338F">
        <w:t>a</w:t>
      </w:r>
      <w:r w:rsidR="00D3234F" w:rsidRPr="0088338F">
        <w:t> </w:t>
      </w:r>
      <w:r w:rsidR="004A4DC2" w:rsidRPr="0088338F">
        <w:t xml:space="preserve">schválilo predstavenstvo </w:t>
      </w:r>
      <w:r w:rsidR="007039CB" w:rsidRPr="0088338F">
        <w:t>1</w:t>
      </w:r>
      <w:r w:rsidR="005D55A6" w:rsidRPr="0088338F">
        <w:t>3</w:t>
      </w:r>
      <w:r w:rsidR="005E5C81" w:rsidRPr="0088338F">
        <w:t>. marca 201</w:t>
      </w:r>
      <w:r w:rsidR="00E7157E" w:rsidRPr="0088338F">
        <w:t>7</w:t>
      </w:r>
      <w:r w:rsidR="004A4DC2" w:rsidRPr="0088338F">
        <w:t>.</w:t>
      </w:r>
    </w:p>
    <w:p w14:paraId="68F0CDFB" w14:textId="77777777" w:rsidR="007F7084" w:rsidRPr="0088338F" w:rsidRDefault="007F7084" w:rsidP="00B9692A">
      <w:pPr>
        <w:pStyle w:val="NormlnyArial"/>
      </w:pPr>
      <w:bookmarkStart w:id="2447" w:name="_GoBack"/>
      <w:bookmarkEnd w:id="2447"/>
    </w:p>
    <w:sectPr w:rsidR="007F7084" w:rsidRPr="0088338F" w:rsidSect="00380F08">
      <w:headerReference w:type="default" r:id="rId198"/>
      <w:pgSz w:w="11906" w:h="16838"/>
      <w:pgMar w:top="1418" w:right="1418"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45788" w14:textId="77777777" w:rsidR="00744ADE" w:rsidRDefault="00744ADE">
      <w:r>
        <w:separator/>
      </w:r>
    </w:p>
  </w:endnote>
  <w:endnote w:type="continuationSeparator" w:id="0">
    <w:p w14:paraId="0D8BC895" w14:textId="77777777" w:rsidR="00744ADE" w:rsidRDefault="00744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RomanEES">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EE"/>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Serif">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EY Gothic Comp Book">
    <w:altName w:val="Arial Narrow"/>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17161" w14:textId="77777777" w:rsidR="006067E6" w:rsidRDefault="006067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FEA87" w14:textId="77777777" w:rsidR="006067E6" w:rsidRDefault="006067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AB1C1" w14:textId="77777777" w:rsidR="006067E6" w:rsidRDefault="006067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1754462489"/>
      <w:docPartObj>
        <w:docPartGallery w:val="Page Numbers (Bottom of Page)"/>
        <w:docPartUnique/>
      </w:docPartObj>
    </w:sdtPr>
    <w:sdtEndPr>
      <w:rPr>
        <w:noProof/>
      </w:rPr>
    </w:sdtEndPr>
    <w:sdtContent>
      <w:p w14:paraId="4961B4A3" w14:textId="77777777" w:rsidR="006067E6" w:rsidRPr="000236BA" w:rsidRDefault="006067E6" w:rsidP="000236BA">
        <w:pPr>
          <w:pStyle w:val="Footer"/>
          <w:jc w:val="right"/>
          <w:rPr>
            <w:rFonts w:ascii="Arial" w:hAnsi="Arial" w:cs="Arial"/>
            <w:sz w:val="20"/>
          </w:rPr>
        </w:pPr>
        <w:r w:rsidRPr="000236BA">
          <w:rPr>
            <w:rFonts w:ascii="Arial" w:hAnsi="Arial" w:cs="Arial"/>
            <w:sz w:val="20"/>
          </w:rPr>
          <w:fldChar w:fldCharType="begin"/>
        </w:r>
        <w:r w:rsidRPr="000236BA">
          <w:rPr>
            <w:rFonts w:ascii="Arial" w:hAnsi="Arial" w:cs="Arial"/>
            <w:sz w:val="20"/>
          </w:rPr>
          <w:instrText xml:space="preserve"> PAGE   \* MERGEFORMAT </w:instrText>
        </w:r>
        <w:r w:rsidRPr="000236BA">
          <w:rPr>
            <w:rFonts w:ascii="Arial" w:hAnsi="Arial" w:cs="Arial"/>
            <w:sz w:val="20"/>
          </w:rPr>
          <w:fldChar w:fldCharType="separate"/>
        </w:r>
        <w:r w:rsidR="007F7084">
          <w:rPr>
            <w:rFonts w:ascii="Arial" w:hAnsi="Arial" w:cs="Arial"/>
            <w:noProof/>
            <w:sz w:val="20"/>
          </w:rPr>
          <w:t>8</w:t>
        </w:r>
        <w:r w:rsidRPr="000236BA">
          <w:rPr>
            <w:rFonts w:ascii="Arial" w:hAnsi="Arial" w:cs="Arial"/>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1731880003"/>
      <w:docPartObj>
        <w:docPartGallery w:val="Page Numbers (Bottom of Page)"/>
        <w:docPartUnique/>
      </w:docPartObj>
    </w:sdtPr>
    <w:sdtEndPr>
      <w:rPr>
        <w:noProof/>
      </w:rPr>
    </w:sdtEndPr>
    <w:sdtContent>
      <w:p w14:paraId="71B25D62" w14:textId="10721133" w:rsidR="006067E6" w:rsidRPr="000236BA" w:rsidRDefault="006067E6" w:rsidP="000236BA">
        <w:pPr>
          <w:pStyle w:val="Footer"/>
          <w:jc w:val="right"/>
          <w:rPr>
            <w:rFonts w:ascii="Arial" w:hAnsi="Arial" w:cs="Arial"/>
            <w:sz w:val="20"/>
          </w:rPr>
        </w:pPr>
        <w:r w:rsidRPr="000236BA">
          <w:rPr>
            <w:rFonts w:ascii="Arial" w:hAnsi="Arial" w:cs="Arial"/>
            <w:sz w:val="20"/>
          </w:rPr>
          <w:fldChar w:fldCharType="begin"/>
        </w:r>
        <w:r w:rsidRPr="000236BA">
          <w:rPr>
            <w:rFonts w:ascii="Arial" w:hAnsi="Arial" w:cs="Arial"/>
            <w:sz w:val="20"/>
          </w:rPr>
          <w:instrText xml:space="preserve"> PAGE   \* MERGEFORMAT </w:instrText>
        </w:r>
        <w:r w:rsidRPr="000236BA">
          <w:rPr>
            <w:rFonts w:ascii="Arial" w:hAnsi="Arial" w:cs="Arial"/>
            <w:sz w:val="20"/>
          </w:rPr>
          <w:fldChar w:fldCharType="separate"/>
        </w:r>
        <w:r w:rsidR="007F7084">
          <w:rPr>
            <w:rFonts w:ascii="Arial" w:hAnsi="Arial" w:cs="Arial"/>
            <w:noProof/>
            <w:sz w:val="20"/>
          </w:rPr>
          <w:t>30</w:t>
        </w:r>
        <w:r w:rsidRPr="000236BA">
          <w:rPr>
            <w:rFonts w:ascii="Arial" w:hAnsi="Arial" w:cs="Arial"/>
            <w:noProof/>
            <w:sz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1497335398"/>
      <w:docPartObj>
        <w:docPartGallery w:val="Page Numbers (Bottom of Page)"/>
        <w:docPartUnique/>
      </w:docPartObj>
    </w:sdtPr>
    <w:sdtEndPr>
      <w:rPr>
        <w:noProof/>
      </w:rPr>
    </w:sdtEndPr>
    <w:sdtContent>
      <w:p w14:paraId="2A8515B6" w14:textId="77777777" w:rsidR="006067E6" w:rsidRPr="000236BA" w:rsidRDefault="006067E6" w:rsidP="006470D5">
        <w:pPr>
          <w:pStyle w:val="Footer"/>
          <w:jc w:val="right"/>
          <w:rPr>
            <w:rFonts w:ascii="Arial" w:hAnsi="Arial" w:cs="Arial"/>
            <w:sz w:val="20"/>
          </w:rPr>
        </w:pPr>
        <w:r w:rsidRPr="000236BA">
          <w:rPr>
            <w:rFonts w:ascii="Arial" w:hAnsi="Arial" w:cs="Arial"/>
            <w:sz w:val="20"/>
          </w:rPr>
          <w:fldChar w:fldCharType="begin"/>
        </w:r>
        <w:r w:rsidRPr="000236BA">
          <w:rPr>
            <w:rFonts w:ascii="Arial" w:hAnsi="Arial" w:cs="Arial"/>
            <w:sz w:val="20"/>
          </w:rPr>
          <w:instrText xml:space="preserve"> PAGE   \* MERGEFORMAT </w:instrText>
        </w:r>
        <w:r w:rsidRPr="000236BA">
          <w:rPr>
            <w:rFonts w:ascii="Arial" w:hAnsi="Arial" w:cs="Arial"/>
            <w:sz w:val="20"/>
          </w:rPr>
          <w:fldChar w:fldCharType="separate"/>
        </w:r>
        <w:r w:rsidR="007F7084">
          <w:rPr>
            <w:rFonts w:ascii="Arial" w:hAnsi="Arial" w:cs="Arial"/>
            <w:noProof/>
            <w:sz w:val="20"/>
          </w:rPr>
          <w:t>76</w:t>
        </w:r>
        <w:r w:rsidRPr="000236BA">
          <w:rPr>
            <w:rFonts w:ascii="Arial" w:hAnsi="Arial" w:cs="Arial"/>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5CE360" w14:textId="77777777" w:rsidR="00744ADE" w:rsidRDefault="00744ADE">
      <w:r>
        <w:separator/>
      </w:r>
    </w:p>
  </w:footnote>
  <w:footnote w:type="continuationSeparator" w:id="0">
    <w:p w14:paraId="62540D5B" w14:textId="77777777" w:rsidR="00744ADE" w:rsidRDefault="00744A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29B93" w14:textId="74BAA14C" w:rsidR="00D04AFA" w:rsidRPr="00D04AFA" w:rsidRDefault="00D04AFA">
    <w:pPr>
      <w:pStyle w:val="Header"/>
      <w:rPr>
        <w:rFonts w:ascii="Arial" w:hAnsi="Arial" w:cs="Arial"/>
      </w:rPr>
    </w:pPr>
    <w:r w:rsidRPr="00D04AFA">
      <w:rPr>
        <w:rFonts w:ascii="Arial" w:hAnsi="Arial" w:cs="Arial"/>
        <w:lang w:val="en-US"/>
      </w:rPr>
      <w:t>PR</w:t>
    </w:r>
    <w:r w:rsidRPr="00D04AFA">
      <w:rPr>
        <w:rFonts w:ascii="Arial" w:hAnsi="Arial" w:cs="Arial"/>
      </w:rPr>
      <w:t>ÍLOHA</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0D5C8" w14:textId="77777777" w:rsidR="006067E6" w:rsidRDefault="006067E6" w:rsidP="00CE7E53">
    <w:pPr>
      <w:pStyle w:val="Header"/>
      <w:tabs>
        <w:tab w:val="clear" w:pos="4536"/>
      </w:tabs>
      <w:jc w:val="both"/>
    </w:pPr>
    <w:r>
      <w:rPr>
        <w:noProof/>
      </w:rPr>
      <w:drawing>
        <wp:inline distT="0" distB="0" distL="0" distR="0" wp14:anchorId="6D99695F" wp14:editId="316C471E">
          <wp:extent cx="1695450" cy="276225"/>
          <wp:effectExtent l="0" t="0" r="0" b="9525"/>
          <wp:docPr id="93" name="Picture 93" descr="PRIVATB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IVATBAN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276225"/>
                  </a:xfrm>
                  <a:prstGeom prst="rect">
                    <a:avLst/>
                  </a:prstGeom>
                  <a:noFill/>
                  <a:ln>
                    <a:noFill/>
                  </a:ln>
                </pic:spPr>
              </pic:pic>
            </a:graphicData>
          </a:graphic>
        </wp:inline>
      </w:drawing>
    </w:r>
    <w:r>
      <w:tab/>
    </w:r>
  </w:p>
  <w:p w14:paraId="08C62470" w14:textId="77777777" w:rsidR="006067E6" w:rsidRDefault="006067E6" w:rsidP="00374D29">
    <w:pPr>
      <w:pStyle w:val="Header"/>
      <w:tabs>
        <w:tab w:val="clear" w:pos="4536"/>
      </w:tabs>
      <w:jc w:val="right"/>
      <w:rPr>
        <w:rFonts w:ascii="Arial" w:hAnsi="Arial" w:cs="Arial"/>
        <w:b/>
        <w:sz w:val="20"/>
        <w:szCs w:val="20"/>
      </w:rPr>
    </w:pPr>
    <w:r w:rsidRPr="00CA2FFF">
      <w:rPr>
        <w:rFonts w:ascii="Arial" w:hAnsi="Arial" w:cs="Arial"/>
        <w:b/>
        <w:sz w:val="20"/>
        <w:szCs w:val="20"/>
      </w:rPr>
      <w:t>Poznámky k  účtovnej závierke za rok, ktorý sa</w:t>
    </w:r>
    <w:r>
      <w:rPr>
        <w:rFonts w:ascii="Arial" w:hAnsi="Arial" w:cs="Arial"/>
        <w:b/>
        <w:sz w:val="20"/>
        <w:szCs w:val="20"/>
      </w:rPr>
      <w:t xml:space="preserve"> </w:t>
    </w:r>
    <w:r w:rsidRPr="00CA2FFF">
      <w:rPr>
        <w:rFonts w:ascii="Arial" w:hAnsi="Arial" w:cs="Arial"/>
        <w:b/>
        <w:sz w:val="20"/>
        <w:szCs w:val="20"/>
      </w:rPr>
      <w:t>skončil</w:t>
    </w:r>
  </w:p>
  <w:p w14:paraId="34709ACE" w14:textId="68901333" w:rsidR="006067E6" w:rsidRDefault="006067E6" w:rsidP="00374D29">
    <w:pPr>
      <w:pStyle w:val="Header"/>
      <w:tabs>
        <w:tab w:val="clear" w:pos="4536"/>
      </w:tabs>
      <w:jc w:val="right"/>
      <w:rPr>
        <w:rFonts w:ascii="Arial" w:hAnsi="Arial" w:cs="Arial"/>
        <w:b/>
        <w:sz w:val="20"/>
        <w:szCs w:val="20"/>
      </w:rPr>
    </w:pPr>
    <w:r w:rsidRPr="00CA2FFF">
      <w:rPr>
        <w:rFonts w:ascii="Arial" w:hAnsi="Arial" w:cs="Arial"/>
        <w:b/>
        <w:sz w:val="20"/>
        <w:szCs w:val="20"/>
      </w:rPr>
      <w:t>31. decembra 20</w:t>
    </w:r>
    <w:r>
      <w:rPr>
        <w:rFonts w:ascii="Arial" w:hAnsi="Arial" w:cs="Arial"/>
        <w:b/>
        <w:sz w:val="20"/>
        <w:szCs w:val="20"/>
      </w:rPr>
      <w:t>16,</w:t>
    </w:r>
    <w:r w:rsidRPr="00CA2FFF">
      <w:rPr>
        <w:rFonts w:ascii="Arial" w:hAnsi="Arial" w:cs="Arial"/>
        <w:b/>
        <w:sz w:val="20"/>
        <w:szCs w:val="20"/>
      </w:rPr>
      <w:t xml:space="preserve"> pripraven</w:t>
    </w:r>
    <w:r>
      <w:rPr>
        <w:rFonts w:ascii="Arial" w:hAnsi="Arial" w:cs="Arial"/>
        <w:b/>
        <w:sz w:val="20"/>
        <w:szCs w:val="20"/>
      </w:rPr>
      <w:t>é</w:t>
    </w:r>
    <w:r w:rsidRPr="00CA2FFF">
      <w:rPr>
        <w:rFonts w:ascii="Arial" w:hAnsi="Arial" w:cs="Arial"/>
        <w:b/>
        <w:sz w:val="20"/>
        <w:szCs w:val="20"/>
      </w:rPr>
      <w:t xml:space="preserve"> v súlade s Medzinárodnými </w:t>
    </w:r>
    <w:r>
      <w:rPr>
        <w:rFonts w:ascii="Arial" w:hAnsi="Arial" w:cs="Arial"/>
        <w:b/>
        <w:sz w:val="20"/>
        <w:szCs w:val="20"/>
      </w:rPr>
      <w:t>štandardmi</w:t>
    </w:r>
  </w:p>
  <w:p w14:paraId="5EEF9A90" w14:textId="77777777" w:rsidR="006067E6" w:rsidRPr="00CA2FFF" w:rsidRDefault="006067E6" w:rsidP="00374D29">
    <w:pPr>
      <w:pStyle w:val="Header"/>
      <w:tabs>
        <w:tab w:val="clear" w:pos="4536"/>
      </w:tabs>
      <w:jc w:val="right"/>
      <w:rPr>
        <w:rFonts w:ascii="Arial" w:hAnsi="Arial" w:cs="Arial"/>
        <w:b/>
        <w:sz w:val="20"/>
        <w:szCs w:val="20"/>
      </w:rPr>
    </w:pPr>
    <w:r>
      <w:rPr>
        <w:rFonts w:ascii="Arial" w:hAnsi="Arial" w:cs="Arial"/>
        <w:b/>
        <w:sz w:val="20"/>
        <w:szCs w:val="20"/>
      </w:rPr>
      <w:t>finančného výkazníctva</w:t>
    </w:r>
    <w:r w:rsidRPr="00CA2FFF">
      <w:rPr>
        <w:rFonts w:ascii="Arial" w:hAnsi="Arial" w:cs="Arial"/>
        <w:b/>
        <w:sz w:val="20"/>
        <w:szCs w:val="20"/>
      </w:rPr>
      <w:t>, ako boli prijaté Európskou úniou</w:t>
    </w:r>
  </w:p>
  <w:p w14:paraId="29097C54" w14:textId="77777777" w:rsidR="006067E6" w:rsidRPr="00E06C62" w:rsidRDefault="006067E6" w:rsidP="00CA2FFF">
    <w:pPr>
      <w:pStyle w:val="Header"/>
      <w:tabs>
        <w:tab w:val="clear" w:pos="4536"/>
      </w:tabs>
      <w:jc w:val="right"/>
      <w:rPr>
        <w:rFonts w:ascii="Arial" w:hAnsi="Arial" w:cs="Arial"/>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AB239" w14:textId="77777777" w:rsidR="006067E6" w:rsidRDefault="006067E6" w:rsidP="00CE7E53">
    <w:pPr>
      <w:pStyle w:val="Header"/>
      <w:tabs>
        <w:tab w:val="clear" w:pos="4536"/>
      </w:tabs>
      <w:jc w:val="both"/>
    </w:pPr>
    <w:r>
      <w:rPr>
        <w:noProof/>
      </w:rPr>
      <w:drawing>
        <wp:inline distT="0" distB="0" distL="0" distR="0" wp14:anchorId="21F10911" wp14:editId="36F5895F">
          <wp:extent cx="1695450" cy="276225"/>
          <wp:effectExtent l="0" t="0" r="0" b="9525"/>
          <wp:docPr id="94" name="Picture 94" descr="PRIVATB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RIVATBAN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276225"/>
                  </a:xfrm>
                  <a:prstGeom prst="rect">
                    <a:avLst/>
                  </a:prstGeom>
                  <a:noFill/>
                  <a:ln>
                    <a:noFill/>
                  </a:ln>
                </pic:spPr>
              </pic:pic>
            </a:graphicData>
          </a:graphic>
        </wp:inline>
      </w:drawing>
    </w:r>
    <w:r>
      <w:tab/>
    </w:r>
  </w:p>
  <w:p w14:paraId="43A42BB1" w14:textId="77777777" w:rsidR="006067E6" w:rsidRDefault="006067E6" w:rsidP="00CA2FFF">
    <w:pPr>
      <w:pStyle w:val="Header"/>
      <w:tabs>
        <w:tab w:val="clear" w:pos="4536"/>
      </w:tabs>
      <w:jc w:val="right"/>
      <w:rPr>
        <w:rFonts w:ascii="Arial" w:hAnsi="Arial" w:cs="Arial"/>
        <w:b/>
        <w:sz w:val="20"/>
        <w:szCs w:val="20"/>
      </w:rPr>
    </w:pPr>
    <w:r w:rsidRPr="00CA2FFF">
      <w:rPr>
        <w:rFonts w:ascii="Arial" w:hAnsi="Arial" w:cs="Arial"/>
        <w:b/>
        <w:sz w:val="20"/>
        <w:szCs w:val="20"/>
      </w:rPr>
      <w:t>Poznámky k  účtovnej závierke za rok, ktorý sa</w:t>
    </w:r>
    <w:r>
      <w:rPr>
        <w:rFonts w:ascii="Arial" w:hAnsi="Arial" w:cs="Arial"/>
        <w:b/>
        <w:sz w:val="20"/>
        <w:szCs w:val="20"/>
      </w:rPr>
      <w:t xml:space="preserve"> </w:t>
    </w:r>
    <w:r w:rsidRPr="00CA2FFF">
      <w:rPr>
        <w:rFonts w:ascii="Arial" w:hAnsi="Arial" w:cs="Arial"/>
        <w:b/>
        <w:sz w:val="20"/>
        <w:szCs w:val="20"/>
      </w:rPr>
      <w:t>skončil</w:t>
    </w:r>
  </w:p>
  <w:p w14:paraId="0C2D103A" w14:textId="20F3727C" w:rsidR="006067E6" w:rsidRDefault="006067E6" w:rsidP="00CA2FFF">
    <w:pPr>
      <w:pStyle w:val="Header"/>
      <w:tabs>
        <w:tab w:val="clear" w:pos="4536"/>
      </w:tabs>
      <w:jc w:val="right"/>
      <w:rPr>
        <w:rFonts w:ascii="Arial" w:hAnsi="Arial" w:cs="Arial"/>
        <w:b/>
        <w:sz w:val="20"/>
        <w:szCs w:val="20"/>
      </w:rPr>
    </w:pPr>
    <w:r w:rsidRPr="00CA2FFF">
      <w:rPr>
        <w:rFonts w:ascii="Arial" w:hAnsi="Arial" w:cs="Arial"/>
        <w:b/>
        <w:sz w:val="20"/>
        <w:szCs w:val="20"/>
      </w:rPr>
      <w:t>31. decembra 20</w:t>
    </w:r>
    <w:r>
      <w:rPr>
        <w:rFonts w:ascii="Arial" w:hAnsi="Arial" w:cs="Arial"/>
        <w:b/>
        <w:sz w:val="20"/>
        <w:szCs w:val="20"/>
      </w:rPr>
      <w:t>16,</w:t>
    </w:r>
    <w:r w:rsidRPr="00CA2FFF">
      <w:rPr>
        <w:rFonts w:ascii="Arial" w:hAnsi="Arial" w:cs="Arial"/>
        <w:b/>
        <w:sz w:val="20"/>
        <w:szCs w:val="20"/>
      </w:rPr>
      <w:t xml:space="preserve"> pripraven</w:t>
    </w:r>
    <w:r>
      <w:rPr>
        <w:rFonts w:ascii="Arial" w:hAnsi="Arial" w:cs="Arial"/>
        <w:b/>
        <w:sz w:val="20"/>
        <w:szCs w:val="20"/>
      </w:rPr>
      <w:t>é</w:t>
    </w:r>
    <w:r w:rsidRPr="00CA2FFF">
      <w:rPr>
        <w:rFonts w:ascii="Arial" w:hAnsi="Arial" w:cs="Arial"/>
        <w:b/>
        <w:sz w:val="20"/>
        <w:szCs w:val="20"/>
      </w:rPr>
      <w:t xml:space="preserve"> v súlade s Medzinárodnými </w:t>
    </w:r>
    <w:r>
      <w:rPr>
        <w:rFonts w:ascii="Arial" w:hAnsi="Arial" w:cs="Arial"/>
        <w:b/>
        <w:sz w:val="20"/>
        <w:szCs w:val="20"/>
      </w:rPr>
      <w:t>štandardmi</w:t>
    </w:r>
  </w:p>
  <w:p w14:paraId="37D43C44" w14:textId="77777777" w:rsidR="006067E6" w:rsidRPr="00CA2FFF" w:rsidRDefault="006067E6" w:rsidP="00CA2FFF">
    <w:pPr>
      <w:pStyle w:val="Header"/>
      <w:tabs>
        <w:tab w:val="clear" w:pos="4536"/>
      </w:tabs>
      <w:jc w:val="right"/>
      <w:rPr>
        <w:rFonts w:ascii="Arial" w:hAnsi="Arial" w:cs="Arial"/>
        <w:b/>
        <w:sz w:val="20"/>
        <w:szCs w:val="20"/>
      </w:rPr>
    </w:pPr>
    <w:r w:rsidRPr="00CA2FFF">
      <w:rPr>
        <w:rFonts w:ascii="Arial" w:hAnsi="Arial" w:cs="Arial"/>
        <w:b/>
        <w:sz w:val="20"/>
        <w:szCs w:val="20"/>
      </w:rPr>
      <w:t>finančné</w:t>
    </w:r>
    <w:r>
      <w:rPr>
        <w:rFonts w:ascii="Arial" w:hAnsi="Arial" w:cs="Arial"/>
        <w:b/>
        <w:sz w:val="20"/>
        <w:szCs w:val="20"/>
      </w:rPr>
      <w:t>ho</w:t>
    </w:r>
    <w:r w:rsidRPr="00CA2FFF">
      <w:rPr>
        <w:rFonts w:ascii="Arial" w:hAnsi="Arial" w:cs="Arial"/>
        <w:b/>
        <w:sz w:val="20"/>
        <w:szCs w:val="20"/>
      </w:rPr>
      <w:t xml:space="preserve"> výkazníctv</w:t>
    </w:r>
    <w:r>
      <w:rPr>
        <w:rFonts w:ascii="Arial" w:hAnsi="Arial" w:cs="Arial"/>
        <w:b/>
        <w:sz w:val="20"/>
        <w:szCs w:val="20"/>
      </w:rPr>
      <w:t>a</w:t>
    </w:r>
    <w:r w:rsidRPr="00CA2FFF">
      <w:rPr>
        <w:rFonts w:ascii="Arial" w:hAnsi="Arial" w:cs="Arial"/>
        <w:b/>
        <w:sz w:val="20"/>
        <w:szCs w:val="20"/>
      </w:rPr>
      <w:t>, ako boli prijaté Európskou úniou</w:t>
    </w:r>
  </w:p>
  <w:p w14:paraId="6418C335" w14:textId="77777777" w:rsidR="006067E6" w:rsidRPr="00E06C62" w:rsidRDefault="006067E6" w:rsidP="00CA2FFF">
    <w:pPr>
      <w:pStyle w:val="Header"/>
      <w:tabs>
        <w:tab w:val="clear" w:pos="4536"/>
      </w:tabs>
      <w:jc w:val="right"/>
      <w:rPr>
        <w:rFonts w:ascii="Arial" w:hAnsi="Arial" w:cs="Arial"/>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455FA" w14:textId="77777777" w:rsidR="006067E6" w:rsidRDefault="006067E6" w:rsidP="00ED0861">
    <w:pPr>
      <w:pStyle w:val="Header"/>
      <w:tabs>
        <w:tab w:val="clear" w:pos="4536"/>
      </w:tabs>
      <w:jc w:val="right"/>
      <w:rPr>
        <w:rFonts w:ascii="Arial" w:hAnsi="Arial" w:cs="Arial"/>
        <w:b/>
        <w:sz w:val="20"/>
        <w:szCs w:val="20"/>
      </w:rPr>
    </w:pPr>
    <w:r>
      <w:rPr>
        <w:noProof/>
      </w:rPr>
      <w:drawing>
        <wp:inline distT="0" distB="0" distL="0" distR="0" wp14:anchorId="04A3E432" wp14:editId="1E760E1C">
          <wp:extent cx="1695450" cy="276225"/>
          <wp:effectExtent l="0" t="0" r="0" b="9525"/>
          <wp:docPr id="95" name="Picture 95" descr="PRIVATB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RIVATBAN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276225"/>
                  </a:xfrm>
                  <a:prstGeom prst="rect">
                    <a:avLst/>
                  </a:prstGeom>
                  <a:noFill/>
                  <a:ln>
                    <a:noFill/>
                  </a:ln>
                </pic:spPr>
              </pic:pic>
            </a:graphicData>
          </a:graphic>
        </wp:inline>
      </w:drawing>
    </w:r>
    <w:r>
      <w:tab/>
    </w:r>
    <w:r>
      <w:tab/>
    </w:r>
    <w:r>
      <w:tab/>
    </w:r>
    <w:r>
      <w:tab/>
    </w:r>
    <w:r>
      <w:tab/>
    </w:r>
    <w:r>
      <w:tab/>
    </w:r>
    <w:r>
      <w:tab/>
    </w:r>
    <w:r>
      <w:tab/>
    </w:r>
    <w:r>
      <w:tab/>
    </w:r>
    <w:r>
      <w:tab/>
      <w:t xml:space="preserve">      </w:t>
    </w:r>
    <w:r w:rsidRPr="00CA2FFF">
      <w:rPr>
        <w:rFonts w:ascii="Arial" w:hAnsi="Arial" w:cs="Arial"/>
        <w:b/>
        <w:sz w:val="20"/>
        <w:szCs w:val="20"/>
      </w:rPr>
      <w:t>Poznámky k  účtovnej závierke za rok, ktorý sa</w:t>
    </w:r>
    <w:r>
      <w:rPr>
        <w:rFonts w:ascii="Arial" w:hAnsi="Arial" w:cs="Arial"/>
        <w:b/>
        <w:sz w:val="20"/>
        <w:szCs w:val="20"/>
      </w:rPr>
      <w:t xml:space="preserve"> </w:t>
    </w:r>
    <w:r w:rsidRPr="00CA2FFF">
      <w:rPr>
        <w:rFonts w:ascii="Arial" w:hAnsi="Arial" w:cs="Arial"/>
        <w:b/>
        <w:sz w:val="20"/>
        <w:szCs w:val="20"/>
      </w:rPr>
      <w:t>skončil</w:t>
    </w:r>
  </w:p>
  <w:p w14:paraId="6C5339D3" w14:textId="46A9E03E" w:rsidR="006067E6" w:rsidRDefault="006067E6" w:rsidP="00ED0861">
    <w:pPr>
      <w:pStyle w:val="Header"/>
      <w:tabs>
        <w:tab w:val="clear" w:pos="4536"/>
      </w:tabs>
      <w:jc w:val="right"/>
      <w:rPr>
        <w:rFonts w:ascii="Arial" w:hAnsi="Arial" w:cs="Arial"/>
        <w:b/>
        <w:sz w:val="20"/>
        <w:szCs w:val="20"/>
      </w:rPr>
    </w:pPr>
    <w:r w:rsidRPr="00CA2FFF">
      <w:rPr>
        <w:rFonts w:ascii="Arial" w:hAnsi="Arial" w:cs="Arial"/>
        <w:b/>
        <w:sz w:val="20"/>
        <w:szCs w:val="20"/>
      </w:rPr>
      <w:t>31. decembra 20</w:t>
    </w:r>
    <w:r>
      <w:rPr>
        <w:rFonts w:ascii="Arial" w:hAnsi="Arial" w:cs="Arial"/>
        <w:b/>
        <w:sz w:val="20"/>
        <w:szCs w:val="20"/>
      </w:rPr>
      <w:t>16,</w:t>
    </w:r>
    <w:r w:rsidRPr="00CA2FFF">
      <w:rPr>
        <w:rFonts w:ascii="Arial" w:hAnsi="Arial" w:cs="Arial"/>
        <w:b/>
        <w:sz w:val="20"/>
        <w:szCs w:val="20"/>
      </w:rPr>
      <w:t xml:space="preserve"> pripraven</w:t>
    </w:r>
    <w:r>
      <w:rPr>
        <w:rFonts w:ascii="Arial" w:hAnsi="Arial" w:cs="Arial"/>
        <w:b/>
        <w:sz w:val="20"/>
        <w:szCs w:val="20"/>
      </w:rPr>
      <w:t>é</w:t>
    </w:r>
    <w:r w:rsidRPr="00CA2FFF">
      <w:rPr>
        <w:rFonts w:ascii="Arial" w:hAnsi="Arial" w:cs="Arial"/>
        <w:b/>
        <w:sz w:val="20"/>
        <w:szCs w:val="20"/>
      </w:rPr>
      <w:t xml:space="preserve"> v súlade s Medzinárodnými </w:t>
    </w:r>
    <w:r>
      <w:rPr>
        <w:rFonts w:ascii="Arial" w:hAnsi="Arial" w:cs="Arial"/>
        <w:b/>
        <w:sz w:val="20"/>
        <w:szCs w:val="20"/>
      </w:rPr>
      <w:t>štandardmi</w:t>
    </w:r>
  </w:p>
  <w:p w14:paraId="4FDE43F8" w14:textId="77777777" w:rsidR="006067E6" w:rsidRPr="00CA2FFF" w:rsidRDefault="006067E6" w:rsidP="00ED0861">
    <w:pPr>
      <w:pStyle w:val="Header"/>
      <w:tabs>
        <w:tab w:val="clear" w:pos="4536"/>
      </w:tabs>
      <w:jc w:val="right"/>
      <w:rPr>
        <w:rFonts w:ascii="Arial" w:hAnsi="Arial" w:cs="Arial"/>
        <w:b/>
        <w:sz w:val="20"/>
        <w:szCs w:val="20"/>
      </w:rPr>
    </w:pPr>
    <w:r w:rsidRPr="00CA2FFF">
      <w:rPr>
        <w:rFonts w:ascii="Arial" w:hAnsi="Arial" w:cs="Arial"/>
        <w:b/>
        <w:sz w:val="20"/>
        <w:szCs w:val="20"/>
      </w:rPr>
      <w:t>finančné</w:t>
    </w:r>
    <w:r>
      <w:rPr>
        <w:rFonts w:ascii="Arial" w:hAnsi="Arial" w:cs="Arial"/>
        <w:b/>
        <w:sz w:val="20"/>
        <w:szCs w:val="20"/>
      </w:rPr>
      <w:t>ho</w:t>
    </w:r>
    <w:r w:rsidRPr="00CA2FFF">
      <w:rPr>
        <w:rFonts w:ascii="Arial" w:hAnsi="Arial" w:cs="Arial"/>
        <w:b/>
        <w:sz w:val="20"/>
        <w:szCs w:val="20"/>
      </w:rPr>
      <w:t xml:space="preserve"> výkazníctv</w:t>
    </w:r>
    <w:r>
      <w:rPr>
        <w:rFonts w:ascii="Arial" w:hAnsi="Arial" w:cs="Arial"/>
        <w:b/>
        <w:sz w:val="20"/>
        <w:szCs w:val="20"/>
      </w:rPr>
      <w:t>a</w:t>
    </w:r>
    <w:r w:rsidRPr="00CA2FFF">
      <w:rPr>
        <w:rFonts w:ascii="Arial" w:hAnsi="Arial" w:cs="Arial"/>
        <w:b/>
        <w:sz w:val="20"/>
        <w:szCs w:val="20"/>
      </w:rPr>
      <w:t>, ako boli prijaté Európskou úniou</w:t>
    </w:r>
  </w:p>
  <w:p w14:paraId="1CE265BA" w14:textId="77777777" w:rsidR="006067E6" w:rsidRPr="00CA2FFF" w:rsidRDefault="006067E6" w:rsidP="006A0B29">
    <w:pPr>
      <w:pStyle w:val="Header"/>
      <w:tabs>
        <w:tab w:val="clear" w:pos="4536"/>
      </w:tabs>
      <w:jc w:val="right"/>
      <w:rPr>
        <w:rFonts w:ascii="Arial" w:hAnsi="Arial" w:cs="Arial"/>
        <w:b/>
        <w:sz w:val="20"/>
        <w:szCs w:val="20"/>
      </w:rPr>
    </w:pPr>
  </w:p>
  <w:p w14:paraId="346541E0" w14:textId="77777777" w:rsidR="006067E6" w:rsidRPr="00E06C62" w:rsidRDefault="006067E6" w:rsidP="006A0B29">
    <w:pPr>
      <w:pStyle w:val="Header"/>
      <w:tabs>
        <w:tab w:val="clear" w:pos="4536"/>
        <w:tab w:val="clear" w:pos="9072"/>
        <w:tab w:val="right" w:pos="14039"/>
      </w:tabs>
      <w:jc w:val="right"/>
      <w:rPr>
        <w:rFonts w:ascii="Arial" w:hAnsi="Arial" w:cs="Arial"/>
        <w: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DD778" w14:textId="77777777" w:rsidR="006067E6" w:rsidRDefault="006067E6" w:rsidP="00ED0861">
    <w:pPr>
      <w:pStyle w:val="Header"/>
      <w:tabs>
        <w:tab w:val="clear" w:pos="4536"/>
      </w:tabs>
      <w:jc w:val="right"/>
    </w:pPr>
    <w:r>
      <w:rPr>
        <w:noProof/>
      </w:rPr>
      <w:drawing>
        <wp:inline distT="0" distB="0" distL="0" distR="0" wp14:anchorId="320807A3" wp14:editId="7919CC48">
          <wp:extent cx="1695450" cy="276225"/>
          <wp:effectExtent l="0" t="0" r="0" b="9525"/>
          <wp:docPr id="96" name="Picture 96" descr="PRIVATB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RIVATBAN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276225"/>
                  </a:xfrm>
                  <a:prstGeom prst="rect">
                    <a:avLst/>
                  </a:prstGeom>
                  <a:noFill/>
                  <a:ln>
                    <a:noFill/>
                  </a:ln>
                </pic:spPr>
              </pic:pic>
            </a:graphicData>
          </a:graphic>
        </wp:inline>
      </w:drawing>
    </w:r>
    <w:r>
      <w:tab/>
    </w:r>
  </w:p>
  <w:p w14:paraId="3F8FD9F4" w14:textId="77777777" w:rsidR="006067E6" w:rsidRDefault="006067E6" w:rsidP="00ED0861">
    <w:pPr>
      <w:pStyle w:val="Header"/>
      <w:tabs>
        <w:tab w:val="clear" w:pos="4536"/>
      </w:tabs>
      <w:jc w:val="right"/>
      <w:rPr>
        <w:rFonts w:ascii="Arial" w:hAnsi="Arial" w:cs="Arial"/>
        <w:b/>
        <w:sz w:val="20"/>
        <w:szCs w:val="20"/>
      </w:rPr>
    </w:pPr>
    <w:r w:rsidRPr="00CA2FFF">
      <w:rPr>
        <w:rFonts w:ascii="Arial" w:hAnsi="Arial" w:cs="Arial"/>
        <w:b/>
        <w:sz w:val="20"/>
        <w:szCs w:val="20"/>
      </w:rPr>
      <w:t>Poznámky k  účtovnej závierke za rok, ktorý sa</w:t>
    </w:r>
    <w:r>
      <w:rPr>
        <w:rFonts w:ascii="Arial" w:hAnsi="Arial" w:cs="Arial"/>
        <w:b/>
        <w:sz w:val="20"/>
        <w:szCs w:val="20"/>
      </w:rPr>
      <w:t xml:space="preserve"> </w:t>
    </w:r>
    <w:r w:rsidRPr="00CA2FFF">
      <w:rPr>
        <w:rFonts w:ascii="Arial" w:hAnsi="Arial" w:cs="Arial"/>
        <w:b/>
        <w:sz w:val="20"/>
        <w:szCs w:val="20"/>
      </w:rPr>
      <w:t>skončil</w:t>
    </w:r>
  </w:p>
  <w:p w14:paraId="0CA94ACC" w14:textId="259DED5D" w:rsidR="006067E6" w:rsidRDefault="006067E6" w:rsidP="00ED0861">
    <w:pPr>
      <w:pStyle w:val="Header"/>
      <w:tabs>
        <w:tab w:val="clear" w:pos="4536"/>
      </w:tabs>
      <w:jc w:val="right"/>
      <w:rPr>
        <w:rFonts w:ascii="Arial" w:hAnsi="Arial" w:cs="Arial"/>
        <w:b/>
        <w:sz w:val="20"/>
        <w:szCs w:val="20"/>
      </w:rPr>
    </w:pPr>
    <w:r w:rsidRPr="00CA2FFF">
      <w:rPr>
        <w:rFonts w:ascii="Arial" w:hAnsi="Arial" w:cs="Arial"/>
        <w:b/>
        <w:sz w:val="20"/>
        <w:szCs w:val="20"/>
      </w:rPr>
      <w:t>31. decembra 20</w:t>
    </w:r>
    <w:r>
      <w:rPr>
        <w:rFonts w:ascii="Arial" w:hAnsi="Arial" w:cs="Arial"/>
        <w:b/>
        <w:sz w:val="20"/>
        <w:szCs w:val="20"/>
      </w:rPr>
      <w:t>16,</w:t>
    </w:r>
    <w:r w:rsidRPr="00CA2FFF">
      <w:rPr>
        <w:rFonts w:ascii="Arial" w:hAnsi="Arial" w:cs="Arial"/>
        <w:b/>
        <w:sz w:val="20"/>
        <w:szCs w:val="20"/>
      </w:rPr>
      <w:t xml:space="preserve"> pripraven</w:t>
    </w:r>
    <w:r>
      <w:rPr>
        <w:rFonts w:ascii="Arial" w:hAnsi="Arial" w:cs="Arial"/>
        <w:b/>
        <w:sz w:val="20"/>
        <w:szCs w:val="20"/>
      </w:rPr>
      <w:t>é</w:t>
    </w:r>
    <w:r w:rsidRPr="00CA2FFF">
      <w:rPr>
        <w:rFonts w:ascii="Arial" w:hAnsi="Arial" w:cs="Arial"/>
        <w:b/>
        <w:sz w:val="20"/>
        <w:szCs w:val="20"/>
      </w:rPr>
      <w:t xml:space="preserve"> v súlade s Medzinárodnými </w:t>
    </w:r>
    <w:r>
      <w:rPr>
        <w:rFonts w:ascii="Arial" w:hAnsi="Arial" w:cs="Arial"/>
        <w:b/>
        <w:sz w:val="20"/>
        <w:szCs w:val="20"/>
      </w:rPr>
      <w:t>štandardmi</w:t>
    </w:r>
  </w:p>
  <w:p w14:paraId="55A72FD4" w14:textId="77777777" w:rsidR="006067E6" w:rsidRPr="00CA2FFF" w:rsidRDefault="006067E6" w:rsidP="00ED0861">
    <w:pPr>
      <w:pStyle w:val="Header"/>
      <w:tabs>
        <w:tab w:val="clear" w:pos="4536"/>
      </w:tabs>
      <w:jc w:val="right"/>
      <w:rPr>
        <w:rFonts w:ascii="Arial" w:hAnsi="Arial" w:cs="Arial"/>
        <w:b/>
        <w:sz w:val="20"/>
        <w:szCs w:val="20"/>
      </w:rPr>
    </w:pPr>
    <w:r w:rsidRPr="00CA2FFF">
      <w:rPr>
        <w:rFonts w:ascii="Arial" w:hAnsi="Arial" w:cs="Arial"/>
        <w:b/>
        <w:sz w:val="20"/>
        <w:szCs w:val="20"/>
      </w:rPr>
      <w:t>finančné</w:t>
    </w:r>
    <w:r>
      <w:rPr>
        <w:rFonts w:ascii="Arial" w:hAnsi="Arial" w:cs="Arial"/>
        <w:b/>
        <w:sz w:val="20"/>
        <w:szCs w:val="20"/>
      </w:rPr>
      <w:t>ho</w:t>
    </w:r>
    <w:r w:rsidRPr="00CA2FFF">
      <w:rPr>
        <w:rFonts w:ascii="Arial" w:hAnsi="Arial" w:cs="Arial"/>
        <w:b/>
        <w:sz w:val="20"/>
        <w:szCs w:val="20"/>
      </w:rPr>
      <w:t xml:space="preserve"> výkazníctv</w:t>
    </w:r>
    <w:r>
      <w:rPr>
        <w:rFonts w:ascii="Arial" w:hAnsi="Arial" w:cs="Arial"/>
        <w:b/>
        <w:sz w:val="20"/>
        <w:szCs w:val="20"/>
      </w:rPr>
      <w:t>a</w:t>
    </w:r>
    <w:r w:rsidRPr="00CA2FFF">
      <w:rPr>
        <w:rFonts w:ascii="Arial" w:hAnsi="Arial" w:cs="Arial"/>
        <w:b/>
        <w:sz w:val="20"/>
        <w:szCs w:val="20"/>
      </w:rPr>
      <w:t>, ako boli prijaté Európskou úniou</w:t>
    </w:r>
  </w:p>
  <w:p w14:paraId="09E2A8F1" w14:textId="77777777" w:rsidR="006067E6" w:rsidRPr="00CA2FFF" w:rsidRDefault="006067E6" w:rsidP="006A0B29">
    <w:pPr>
      <w:pStyle w:val="Header"/>
      <w:tabs>
        <w:tab w:val="clear" w:pos="4536"/>
      </w:tabs>
      <w:jc w:val="right"/>
      <w:rPr>
        <w:rFonts w:ascii="Arial" w:hAnsi="Arial" w:cs="Arial"/>
        <w:b/>
        <w:sz w:val="20"/>
        <w:szCs w:val="20"/>
      </w:rPr>
    </w:pPr>
  </w:p>
  <w:p w14:paraId="5777DF9E" w14:textId="77777777" w:rsidR="006067E6" w:rsidRPr="00E06C62" w:rsidRDefault="006067E6" w:rsidP="006A0B29">
    <w:pPr>
      <w:pStyle w:val="Header"/>
      <w:tabs>
        <w:tab w:val="clear" w:pos="4536"/>
      </w:tabs>
      <w:jc w:val="both"/>
      <w:rPr>
        <w:rFonts w:ascii="Arial" w:hAnsi="Arial" w:cs="Arial"/>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584BF" w14:textId="77777777" w:rsidR="006067E6" w:rsidRDefault="006067E6" w:rsidP="00335C12">
    <w:pPr>
      <w:pStyle w:val="Header"/>
      <w:tabs>
        <w:tab w:val="clear" w:pos="4536"/>
        <w:tab w:val="clear" w:pos="9072"/>
        <w:tab w:val="right" w:pos="14039"/>
      </w:tabs>
    </w:pPr>
    <w:r>
      <w:rPr>
        <w:noProof/>
      </w:rPr>
      <w:drawing>
        <wp:inline distT="0" distB="0" distL="0" distR="0" wp14:anchorId="6DBEDEB7" wp14:editId="4E72F65C">
          <wp:extent cx="1695450" cy="276225"/>
          <wp:effectExtent l="0" t="0" r="0" b="9525"/>
          <wp:docPr id="97" name="Picture 97" descr="PRIVATB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RIVATBAN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276225"/>
                  </a:xfrm>
                  <a:prstGeom prst="rect">
                    <a:avLst/>
                  </a:prstGeom>
                  <a:noFill/>
                  <a:ln>
                    <a:noFill/>
                  </a:ln>
                </pic:spPr>
              </pic:pic>
            </a:graphicData>
          </a:graphic>
        </wp:inline>
      </w:drawing>
    </w:r>
    <w:r>
      <w:tab/>
    </w:r>
  </w:p>
  <w:p w14:paraId="04128296" w14:textId="77777777" w:rsidR="006067E6" w:rsidRDefault="006067E6" w:rsidP="00FA2B72">
    <w:pPr>
      <w:pStyle w:val="Header"/>
      <w:tabs>
        <w:tab w:val="clear" w:pos="4536"/>
        <w:tab w:val="clear" w:pos="9072"/>
        <w:tab w:val="right" w:pos="14039"/>
      </w:tabs>
      <w:jc w:val="right"/>
      <w:rPr>
        <w:rFonts w:ascii="Arial" w:hAnsi="Arial" w:cs="Arial"/>
        <w:b/>
        <w:sz w:val="20"/>
        <w:szCs w:val="20"/>
      </w:rPr>
    </w:pPr>
    <w:r w:rsidRPr="00CA2FFF">
      <w:rPr>
        <w:rFonts w:ascii="Arial" w:hAnsi="Arial" w:cs="Arial"/>
        <w:b/>
        <w:sz w:val="20"/>
        <w:szCs w:val="20"/>
      </w:rPr>
      <w:t>Poznámky k  účtovnej závierke za rok, ktorý sa</w:t>
    </w:r>
    <w:r>
      <w:rPr>
        <w:rFonts w:ascii="Arial" w:hAnsi="Arial" w:cs="Arial"/>
        <w:b/>
        <w:sz w:val="20"/>
        <w:szCs w:val="20"/>
      </w:rPr>
      <w:t xml:space="preserve"> </w:t>
    </w:r>
    <w:r w:rsidRPr="00CA2FFF">
      <w:rPr>
        <w:rFonts w:ascii="Arial" w:hAnsi="Arial" w:cs="Arial"/>
        <w:b/>
        <w:sz w:val="20"/>
        <w:szCs w:val="20"/>
      </w:rPr>
      <w:t>skončil</w:t>
    </w:r>
  </w:p>
  <w:p w14:paraId="552856E2" w14:textId="60B990CA" w:rsidR="006067E6" w:rsidRDefault="006067E6" w:rsidP="00ED0861">
    <w:pPr>
      <w:pStyle w:val="Header"/>
      <w:tabs>
        <w:tab w:val="clear" w:pos="4536"/>
      </w:tabs>
      <w:jc w:val="right"/>
      <w:rPr>
        <w:rFonts w:ascii="Arial" w:hAnsi="Arial" w:cs="Arial"/>
        <w:b/>
        <w:sz w:val="20"/>
        <w:szCs w:val="20"/>
      </w:rPr>
    </w:pPr>
    <w:r w:rsidRPr="00CA2FFF">
      <w:rPr>
        <w:rFonts w:ascii="Arial" w:hAnsi="Arial" w:cs="Arial"/>
        <w:b/>
        <w:sz w:val="20"/>
        <w:szCs w:val="20"/>
      </w:rPr>
      <w:t>31. decembra 20</w:t>
    </w:r>
    <w:r>
      <w:rPr>
        <w:rFonts w:ascii="Arial" w:hAnsi="Arial" w:cs="Arial"/>
        <w:b/>
        <w:sz w:val="20"/>
        <w:szCs w:val="20"/>
      </w:rPr>
      <w:t>16,</w:t>
    </w:r>
    <w:r w:rsidRPr="00CA2FFF">
      <w:rPr>
        <w:rFonts w:ascii="Arial" w:hAnsi="Arial" w:cs="Arial"/>
        <w:b/>
        <w:sz w:val="20"/>
        <w:szCs w:val="20"/>
      </w:rPr>
      <w:t xml:space="preserve"> pripraven</w:t>
    </w:r>
    <w:r>
      <w:rPr>
        <w:rFonts w:ascii="Arial" w:hAnsi="Arial" w:cs="Arial"/>
        <w:b/>
        <w:sz w:val="20"/>
        <w:szCs w:val="20"/>
      </w:rPr>
      <w:t>é</w:t>
    </w:r>
    <w:r w:rsidRPr="00CA2FFF">
      <w:rPr>
        <w:rFonts w:ascii="Arial" w:hAnsi="Arial" w:cs="Arial"/>
        <w:b/>
        <w:sz w:val="20"/>
        <w:szCs w:val="20"/>
      </w:rPr>
      <w:t xml:space="preserve"> v súlade s Medzinárodnými </w:t>
    </w:r>
    <w:r>
      <w:rPr>
        <w:rFonts w:ascii="Arial" w:hAnsi="Arial" w:cs="Arial"/>
        <w:b/>
        <w:sz w:val="20"/>
        <w:szCs w:val="20"/>
      </w:rPr>
      <w:t>štandardmi</w:t>
    </w:r>
  </w:p>
  <w:p w14:paraId="079A0441" w14:textId="77777777" w:rsidR="006067E6" w:rsidRPr="00CA2FFF" w:rsidRDefault="006067E6" w:rsidP="00ED0861">
    <w:pPr>
      <w:pStyle w:val="Header"/>
      <w:tabs>
        <w:tab w:val="clear" w:pos="4536"/>
      </w:tabs>
      <w:jc w:val="right"/>
      <w:rPr>
        <w:rFonts w:ascii="Arial" w:hAnsi="Arial" w:cs="Arial"/>
        <w:b/>
        <w:sz w:val="20"/>
        <w:szCs w:val="20"/>
      </w:rPr>
    </w:pPr>
    <w:r w:rsidRPr="00CA2FFF">
      <w:rPr>
        <w:rFonts w:ascii="Arial" w:hAnsi="Arial" w:cs="Arial"/>
        <w:b/>
        <w:sz w:val="20"/>
        <w:szCs w:val="20"/>
      </w:rPr>
      <w:t>finančné</w:t>
    </w:r>
    <w:r>
      <w:rPr>
        <w:rFonts w:ascii="Arial" w:hAnsi="Arial" w:cs="Arial"/>
        <w:b/>
        <w:sz w:val="20"/>
        <w:szCs w:val="20"/>
      </w:rPr>
      <w:t>ho</w:t>
    </w:r>
    <w:r w:rsidRPr="00CA2FFF">
      <w:rPr>
        <w:rFonts w:ascii="Arial" w:hAnsi="Arial" w:cs="Arial"/>
        <w:b/>
        <w:sz w:val="20"/>
        <w:szCs w:val="20"/>
      </w:rPr>
      <w:t xml:space="preserve"> výkazníctv</w:t>
    </w:r>
    <w:r>
      <w:rPr>
        <w:rFonts w:ascii="Arial" w:hAnsi="Arial" w:cs="Arial"/>
        <w:b/>
        <w:sz w:val="20"/>
        <w:szCs w:val="20"/>
      </w:rPr>
      <w:t>a</w:t>
    </w:r>
    <w:r w:rsidRPr="00CA2FFF">
      <w:rPr>
        <w:rFonts w:ascii="Arial" w:hAnsi="Arial" w:cs="Arial"/>
        <w:b/>
        <w:sz w:val="20"/>
        <w:szCs w:val="20"/>
      </w:rPr>
      <w:t>, ako boli prijaté Európskou úniou</w:t>
    </w:r>
  </w:p>
  <w:p w14:paraId="3AA1F786" w14:textId="77777777" w:rsidR="006067E6" w:rsidRPr="00E06C62" w:rsidRDefault="006067E6" w:rsidP="00335C12">
    <w:pPr>
      <w:pStyle w:val="Header"/>
      <w:tabs>
        <w:tab w:val="clear" w:pos="4536"/>
        <w:tab w:val="clear" w:pos="9072"/>
        <w:tab w:val="right" w:pos="14039"/>
      </w:tabs>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62809" w14:textId="77777777" w:rsidR="006067E6" w:rsidRDefault="006067E6" w:rsidP="00ED0861">
    <w:pPr>
      <w:pStyle w:val="Header"/>
      <w:tabs>
        <w:tab w:val="clear" w:pos="4536"/>
      </w:tabs>
      <w:jc w:val="right"/>
    </w:pPr>
    <w:r>
      <w:rPr>
        <w:noProof/>
      </w:rPr>
      <w:drawing>
        <wp:inline distT="0" distB="0" distL="0" distR="0" wp14:anchorId="2B620635" wp14:editId="6A94F079">
          <wp:extent cx="1695450" cy="276225"/>
          <wp:effectExtent l="0" t="0" r="0" b="9525"/>
          <wp:docPr id="98" name="Picture 98" descr="PRIVATB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RIVATBAN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276225"/>
                  </a:xfrm>
                  <a:prstGeom prst="rect">
                    <a:avLst/>
                  </a:prstGeom>
                  <a:noFill/>
                  <a:ln>
                    <a:noFill/>
                  </a:ln>
                </pic:spPr>
              </pic:pic>
            </a:graphicData>
          </a:graphic>
        </wp:inline>
      </w:drawing>
    </w:r>
    <w:r>
      <w:tab/>
    </w:r>
  </w:p>
  <w:p w14:paraId="079ABF02" w14:textId="77777777" w:rsidR="006067E6" w:rsidRDefault="006067E6" w:rsidP="00ED0861">
    <w:pPr>
      <w:pStyle w:val="Header"/>
      <w:tabs>
        <w:tab w:val="clear" w:pos="4536"/>
      </w:tabs>
      <w:jc w:val="right"/>
      <w:rPr>
        <w:rFonts w:ascii="Arial" w:hAnsi="Arial" w:cs="Arial"/>
        <w:b/>
        <w:sz w:val="20"/>
        <w:szCs w:val="20"/>
      </w:rPr>
    </w:pPr>
    <w:r w:rsidRPr="00CA2FFF">
      <w:rPr>
        <w:rFonts w:ascii="Arial" w:hAnsi="Arial" w:cs="Arial"/>
        <w:b/>
        <w:sz w:val="20"/>
        <w:szCs w:val="20"/>
      </w:rPr>
      <w:t>Poznámky k  účtovnej závierke za rok, ktorý sa</w:t>
    </w:r>
    <w:r>
      <w:rPr>
        <w:rFonts w:ascii="Arial" w:hAnsi="Arial" w:cs="Arial"/>
        <w:b/>
        <w:sz w:val="20"/>
        <w:szCs w:val="20"/>
      </w:rPr>
      <w:t xml:space="preserve"> </w:t>
    </w:r>
    <w:r w:rsidRPr="00CA2FFF">
      <w:rPr>
        <w:rFonts w:ascii="Arial" w:hAnsi="Arial" w:cs="Arial"/>
        <w:b/>
        <w:sz w:val="20"/>
        <w:szCs w:val="20"/>
      </w:rPr>
      <w:t>skončil</w:t>
    </w:r>
  </w:p>
  <w:p w14:paraId="569E6C1E" w14:textId="420B077D" w:rsidR="006067E6" w:rsidRDefault="006067E6" w:rsidP="00ED0861">
    <w:pPr>
      <w:pStyle w:val="Header"/>
      <w:tabs>
        <w:tab w:val="clear" w:pos="4536"/>
      </w:tabs>
      <w:jc w:val="right"/>
      <w:rPr>
        <w:rFonts w:ascii="Arial" w:hAnsi="Arial" w:cs="Arial"/>
        <w:b/>
        <w:sz w:val="20"/>
        <w:szCs w:val="20"/>
      </w:rPr>
    </w:pPr>
    <w:r w:rsidRPr="00CA2FFF">
      <w:rPr>
        <w:rFonts w:ascii="Arial" w:hAnsi="Arial" w:cs="Arial"/>
        <w:b/>
        <w:sz w:val="20"/>
        <w:szCs w:val="20"/>
      </w:rPr>
      <w:t>31. decembra 20</w:t>
    </w:r>
    <w:r>
      <w:rPr>
        <w:rFonts w:ascii="Arial" w:hAnsi="Arial" w:cs="Arial"/>
        <w:b/>
        <w:sz w:val="20"/>
        <w:szCs w:val="20"/>
      </w:rPr>
      <w:t>16,</w:t>
    </w:r>
    <w:r w:rsidRPr="00CA2FFF">
      <w:rPr>
        <w:rFonts w:ascii="Arial" w:hAnsi="Arial" w:cs="Arial"/>
        <w:b/>
        <w:sz w:val="20"/>
        <w:szCs w:val="20"/>
      </w:rPr>
      <w:t xml:space="preserve"> pripraven</w:t>
    </w:r>
    <w:r>
      <w:rPr>
        <w:rFonts w:ascii="Arial" w:hAnsi="Arial" w:cs="Arial"/>
        <w:b/>
        <w:sz w:val="20"/>
        <w:szCs w:val="20"/>
      </w:rPr>
      <w:t>é</w:t>
    </w:r>
    <w:r w:rsidRPr="00CA2FFF">
      <w:rPr>
        <w:rFonts w:ascii="Arial" w:hAnsi="Arial" w:cs="Arial"/>
        <w:b/>
        <w:sz w:val="20"/>
        <w:szCs w:val="20"/>
      </w:rPr>
      <w:t xml:space="preserve"> v súlade s Medzinárodnými </w:t>
    </w:r>
    <w:r>
      <w:rPr>
        <w:rFonts w:ascii="Arial" w:hAnsi="Arial" w:cs="Arial"/>
        <w:b/>
        <w:sz w:val="20"/>
        <w:szCs w:val="20"/>
      </w:rPr>
      <w:t>štandardmi</w:t>
    </w:r>
  </w:p>
  <w:p w14:paraId="16A6A42D" w14:textId="77777777" w:rsidR="006067E6" w:rsidRPr="00CA2FFF" w:rsidRDefault="006067E6" w:rsidP="00ED0861">
    <w:pPr>
      <w:pStyle w:val="Header"/>
      <w:tabs>
        <w:tab w:val="clear" w:pos="4536"/>
      </w:tabs>
      <w:jc w:val="right"/>
      <w:rPr>
        <w:rFonts w:ascii="Arial" w:hAnsi="Arial" w:cs="Arial"/>
        <w:b/>
        <w:sz w:val="20"/>
        <w:szCs w:val="20"/>
      </w:rPr>
    </w:pPr>
    <w:r w:rsidRPr="00CA2FFF">
      <w:rPr>
        <w:rFonts w:ascii="Arial" w:hAnsi="Arial" w:cs="Arial"/>
        <w:b/>
        <w:sz w:val="20"/>
        <w:szCs w:val="20"/>
      </w:rPr>
      <w:t>finančné</w:t>
    </w:r>
    <w:r>
      <w:rPr>
        <w:rFonts w:ascii="Arial" w:hAnsi="Arial" w:cs="Arial"/>
        <w:b/>
        <w:sz w:val="20"/>
        <w:szCs w:val="20"/>
      </w:rPr>
      <w:t>ho</w:t>
    </w:r>
    <w:r w:rsidRPr="00CA2FFF">
      <w:rPr>
        <w:rFonts w:ascii="Arial" w:hAnsi="Arial" w:cs="Arial"/>
        <w:b/>
        <w:sz w:val="20"/>
        <w:szCs w:val="20"/>
      </w:rPr>
      <w:t xml:space="preserve"> výkazníctv</w:t>
    </w:r>
    <w:r>
      <w:rPr>
        <w:rFonts w:ascii="Arial" w:hAnsi="Arial" w:cs="Arial"/>
        <w:b/>
        <w:sz w:val="20"/>
        <w:szCs w:val="20"/>
      </w:rPr>
      <w:t>a</w:t>
    </w:r>
    <w:r w:rsidRPr="00CA2FFF">
      <w:rPr>
        <w:rFonts w:ascii="Arial" w:hAnsi="Arial" w:cs="Arial"/>
        <w:b/>
        <w:sz w:val="20"/>
        <w:szCs w:val="20"/>
      </w:rPr>
      <w:t>, ako boli prijaté Európskou úniou</w:t>
    </w:r>
  </w:p>
  <w:p w14:paraId="11F50DB2" w14:textId="77777777" w:rsidR="006067E6" w:rsidRPr="00446C3C" w:rsidRDefault="006067E6" w:rsidP="006A0B29">
    <w:pPr>
      <w:pStyle w:val="Header"/>
      <w:tabs>
        <w:tab w:val="clear" w:pos="4536"/>
      </w:tabs>
      <w:jc w:val="right"/>
      <w:rPr>
        <w:rFonts w:ascii="Arial" w:hAnsi="Arial" w:cs="Arial"/>
        <w:b/>
        <w:sz w:val="18"/>
        <w:szCs w:val="18"/>
      </w:rPr>
    </w:pPr>
  </w:p>
  <w:p w14:paraId="011B13C0" w14:textId="77777777" w:rsidR="006067E6" w:rsidRPr="00446C3C" w:rsidRDefault="006067E6" w:rsidP="00E06C62">
    <w:pPr>
      <w:pStyle w:val="Header"/>
      <w:tabs>
        <w:tab w:val="clear" w:pos="4536"/>
      </w:tabs>
      <w:jc w:val="both"/>
      <w:rPr>
        <w:rFonts w:ascii="Arial" w:hAnsi="Arial" w:cs="Arial"/>
        <w:b/>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0D9AF" w14:textId="77777777" w:rsidR="006067E6" w:rsidRDefault="006067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5C213" w14:textId="77777777" w:rsidR="006067E6" w:rsidRDefault="006067E6" w:rsidP="000945E5">
    <w:pPr>
      <w:pStyle w:val="Header"/>
      <w:tabs>
        <w:tab w:val="clear" w:pos="4536"/>
      </w:tabs>
      <w:jc w:val="both"/>
    </w:pPr>
    <w:r>
      <w:rPr>
        <w:noProof/>
      </w:rPr>
      <w:drawing>
        <wp:inline distT="0" distB="0" distL="0" distR="0" wp14:anchorId="028E5636" wp14:editId="298DFAAC">
          <wp:extent cx="1695450" cy="276225"/>
          <wp:effectExtent l="0" t="0" r="0" b="9525"/>
          <wp:docPr id="87" name="Picture 87" descr="PRIVATB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IVATBAN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276225"/>
                  </a:xfrm>
                  <a:prstGeom prst="rect">
                    <a:avLst/>
                  </a:prstGeom>
                  <a:noFill/>
                  <a:ln>
                    <a:noFill/>
                  </a:ln>
                </pic:spPr>
              </pic:pic>
            </a:graphicData>
          </a:graphic>
        </wp:inline>
      </w:drawing>
    </w:r>
    <w:r>
      <w:tab/>
    </w:r>
  </w:p>
  <w:p w14:paraId="00031824" w14:textId="6F7FC2F0" w:rsidR="006067E6" w:rsidRDefault="006067E6" w:rsidP="00410E96">
    <w:pPr>
      <w:pStyle w:val="Header"/>
      <w:tabs>
        <w:tab w:val="clear" w:pos="4536"/>
      </w:tabs>
      <w:jc w:val="right"/>
      <w:rPr>
        <w:rFonts w:ascii="Arial" w:hAnsi="Arial" w:cs="Arial"/>
        <w:b/>
        <w:sz w:val="20"/>
        <w:szCs w:val="20"/>
      </w:rPr>
    </w:pPr>
    <w:r>
      <w:rPr>
        <w:rFonts w:ascii="Arial" w:hAnsi="Arial" w:cs="Arial"/>
        <w:b/>
        <w:sz w:val="20"/>
        <w:szCs w:val="20"/>
      </w:rPr>
      <w:t>Ú</w:t>
    </w:r>
    <w:r w:rsidRPr="00CA2FFF">
      <w:rPr>
        <w:rFonts w:ascii="Arial" w:hAnsi="Arial" w:cs="Arial"/>
        <w:b/>
        <w:sz w:val="20"/>
        <w:szCs w:val="20"/>
      </w:rPr>
      <w:t>čtovná závierka za rok končiaci sa 31. decembra 20</w:t>
    </w:r>
    <w:r>
      <w:rPr>
        <w:rFonts w:ascii="Arial" w:hAnsi="Arial" w:cs="Arial"/>
        <w:b/>
        <w:sz w:val="20"/>
        <w:szCs w:val="20"/>
      </w:rPr>
      <w:t>16</w:t>
    </w:r>
  </w:p>
  <w:p w14:paraId="11C1CA43" w14:textId="77777777" w:rsidR="006067E6" w:rsidRPr="00CA2FFF" w:rsidRDefault="006067E6" w:rsidP="00074A6E">
    <w:pPr>
      <w:pStyle w:val="Header"/>
      <w:tabs>
        <w:tab w:val="clear" w:pos="4536"/>
      </w:tabs>
      <w:jc w:val="right"/>
      <w:rPr>
        <w:rFonts w:ascii="Arial" w:hAnsi="Arial" w:cs="Arial"/>
        <w:b/>
        <w:sz w:val="20"/>
        <w:szCs w:val="20"/>
      </w:rPr>
    </w:pPr>
    <w:r w:rsidRPr="00CA2FFF">
      <w:rPr>
        <w:rFonts w:ascii="Arial" w:hAnsi="Arial" w:cs="Arial"/>
        <w:b/>
        <w:sz w:val="20"/>
        <w:szCs w:val="20"/>
      </w:rPr>
      <w:t>pripravená v súlade s</w:t>
    </w:r>
    <w:r>
      <w:rPr>
        <w:rFonts w:ascii="Arial" w:hAnsi="Arial" w:cs="Arial"/>
        <w:b/>
        <w:sz w:val="20"/>
        <w:szCs w:val="20"/>
      </w:rPr>
      <w:t xml:space="preserve"> </w:t>
    </w:r>
    <w:r w:rsidRPr="00CA2FFF">
      <w:rPr>
        <w:rFonts w:ascii="Arial" w:hAnsi="Arial" w:cs="Arial"/>
        <w:b/>
        <w:sz w:val="20"/>
        <w:szCs w:val="20"/>
      </w:rPr>
      <w:t xml:space="preserve">Medzinárodnými štandardami </w:t>
    </w:r>
    <w:r>
      <w:rPr>
        <w:rFonts w:ascii="Arial" w:hAnsi="Arial" w:cs="Arial"/>
        <w:b/>
        <w:sz w:val="20"/>
        <w:szCs w:val="20"/>
      </w:rPr>
      <w:t xml:space="preserve">finančného výkazníctva, </w:t>
    </w:r>
    <w:r>
      <w:rPr>
        <w:rFonts w:ascii="Arial" w:hAnsi="Arial" w:cs="Arial"/>
        <w:b/>
        <w:sz w:val="20"/>
        <w:szCs w:val="20"/>
      </w:rPr>
      <w:br/>
    </w:r>
    <w:r w:rsidRPr="00CA2FFF">
      <w:rPr>
        <w:rFonts w:ascii="Arial" w:hAnsi="Arial" w:cs="Arial"/>
        <w:b/>
        <w:sz w:val="20"/>
        <w:szCs w:val="20"/>
      </w:rPr>
      <w:t>ako</w:t>
    </w:r>
    <w:r>
      <w:rPr>
        <w:rFonts w:ascii="Arial" w:hAnsi="Arial" w:cs="Arial"/>
        <w:b/>
        <w:sz w:val="20"/>
        <w:szCs w:val="20"/>
      </w:rPr>
      <w:t xml:space="preserve"> </w:t>
    </w:r>
    <w:r w:rsidRPr="00CA2FFF">
      <w:rPr>
        <w:rFonts w:ascii="Arial" w:hAnsi="Arial" w:cs="Arial"/>
        <w:b/>
        <w:sz w:val="20"/>
        <w:szCs w:val="20"/>
      </w:rPr>
      <w:t xml:space="preserve">boli prijaté Európskou úniou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FC89F" w14:textId="77777777" w:rsidR="006067E6" w:rsidRDefault="006067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B31CD" w14:textId="5AA8EBA1" w:rsidR="006067E6" w:rsidRDefault="006067E6" w:rsidP="00CA2FFF">
    <w:pPr>
      <w:pStyle w:val="Header"/>
      <w:tabs>
        <w:tab w:val="clear" w:pos="4536"/>
      </w:tabs>
      <w:jc w:val="right"/>
      <w:rPr>
        <w:rFonts w:ascii="Arial" w:hAnsi="Arial" w:cs="Arial"/>
        <w:b/>
        <w:sz w:val="20"/>
        <w:szCs w:val="20"/>
      </w:rPr>
    </w:pPr>
    <w:r>
      <w:rPr>
        <w:noProof/>
      </w:rPr>
      <w:drawing>
        <wp:inline distT="0" distB="0" distL="0" distR="0" wp14:anchorId="46D6584A" wp14:editId="2805DFC5">
          <wp:extent cx="1695450" cy="276225"/>
          <wp:effectExtent l="0" t="0" r="0" b="9525"/>
          <wp:docPr id="88" name="Picture 88" descr="PRIVATB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RIVATBAN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276225"/>
                  </a:xfrm>
                  <a:prstGeom prst="rect">
                    <a:avLst/>
                  </a:prstGeom>
                  <a:noFill/>
                  <a:ln>
                    <a:noFill/>
                  </a:ln>
                </pic:spPr>
              </pic:pic>
            </a:graphicData>
          </a:graphic>
        </wp:inline>
      </w:drawing>
    </w:r>
    <w:r w:rsidRPr="00CA2FFF">
      <w:rPr>
        <w:sz w:val="20"/>
        <w:szCs w:val="20"/>
      </w:rPr>
      <w:tab/>
    </w:r>
    <w:r w:rsidRPr="00E65A90">
      <w:rPr>
        <w:rFonts w:ascii="Arial" w:hAnsi="Arial" w:cs="Arial"/>
        <w:b/>
        <w:sz w:val="20"/>
        <w:szCs w:val="20"/>
      </w:rPr>
      <w:t>Výkaz</w:t>
    </w:r>
    <w:r>
      <w:rPr>
        <w:rFonts w:ascii="Arial" w:hAnsi="Arial" w:cs="Arial"/>
        <w:b/>
        <w:sz w:val="20"/>
        <w:szCs w:val="20"/>
      </w:rPr>
      <w:t xml:space="preserve"> o finančnej situácii</w:t>
    </w:r>
    <w:r w:rsidRPr="00CA2FFF">
      <w:rPr>
        <w:rFonts w:ascii="Arial" w:hAnsi="Arial" w:cs="Arial"/>
        <w:b/>
        <w:sz w:val="20"/>
        <w:szCs w:val="20"/>
      </w:rPr>
      <w:t xml:space="preserve"> k 31. decembru 20</w:t>
    </w:r>
    <w:r>
      <w:rPr>
        <w:rFonts w:ascii="Arial" w:hAnsi="Arial" w:cs="Arial"/>
        <w:b/>
        <w:sz w:val="20"/>
        <w:szCs w:val="20"/>
      </w:rPr>
      <w:t>16</w:t>
    </w:r>
  </w:p>
  <w:p w14:paraId="7FB25E09" w14:textId="77777777" w:rsidR="006067E6" w:rsidRDefault="006067E6" w:rsidP="00CA2FFF">
    <w:pPr>
      <w:pStyle w:val="Header"/>
      <w:tabs>
        <w:tab w:val="clear" w:pos="4536"/>
      </w:tabs>
      <w:jc w:val="right"/>
      <w:rPr>
        <w:rFonts w:ascii="Arial" w:hAnsi="Arial" w:cs="Arial"/>
        <w:b/>
        <w:sz w:val="20"/>
        <w:szCs w:val="20"/>
      </w:rPr>
    </w:pPr>
    <w:r w:rsidRPr="00CA2FFF">
      <w:rPr>
        <w:rFonts w:ascii="Arial" w:hAnsi="Arial" w:cs="Arial"/>
        <w:b/>
        <w:sz w:val="20"/>
        <w:szCs w:val="20"/>
      </w:rPr>
      <w:t>pripraven</w:t>
    </w:r>
    <w:r>
      <w:rPr>
        <w:rFonts w:ascii="Arial" w:hAnsi="Arial" w:cs="Arial"/>
        <w:b/>
        <w:sz w:val="20"/>
        <w:szCs w:val="20"/>
      </w:rPr>
      <w:t>ý</w:t>
    </w:r>
    <w:r w:rsidRPr="00CA2FFF">
      <w:rPr>
        <w:rFonts w:ascii="Arial" w:hAnsi="Arial" w:cs="Arial"/>
        <w:b/>
        <w:sz w:val="20"/>
        <w:szCs w:val="20"/>
      </w:rPr>
      <w:t xml:space="preserve"> v</w:t>
    </w:r>
    <w:r>
      <w:rPr>
        <w:rFonts w:ascii="Arial" w:hAnsi="Arial" w:cs="Arial"/>
        <w:b/>
        <w:sz w:val="20"/>
        <w:szCs w:val="20"/>
      </w:rPr>
      <w:t xml:space="preserve"> súlade </w:t>
    </w:r>
    <w:r w:rsidRPr="00CA2FFF">
      <w:rPr>
        <w:rFonts w:ascii="Arial" w:hAnsi="Arial" w:cs="Arial"/>
        <w:b/>
        <w:sz w:val="20"/>
        <w:szCs w:val="20"/>
      </w:rPr>
      <w:t>s</w:t>
    </w:r>
    <w:r>
      <w:rPr>
        <w:rFonts w:ascii="Arial" w:hAnsi="Arial" w:cs="Arial"/>
        <w:b/>
        <w:sz w:val="20"/>
        <w:szCs w:val="20"/>
      </w:rPr>
      <w:t xml:space="preserve"> </w:t>
    </w:r>
    <w:r w:rsidRPr="00CA2FFF">
      <w:rPr>
        <w:rFonts w:ascii="Arial" w:hAnsi="Arial" w:cs="Arial"/>
        <w:b/>
        <w:sz w:val="20"/>
        <w:szCs w:val="20"/>
      </w:rPr>
      <w:t>Medzinárodnými štandardmi</w:t>
    </w:r>
  </w:p>
  <w:p w14:paraId="78CE73EE" w14:textId="77777777" w:rsidR="006067E6" w:rsidRDefault="006067E6" w:rsidP="00CA2FFF">
    <w:pPr>
      <w:pStyle w:val="Header"/>
      <w:tabs>
        <w:tab w:val="clear" w:pos="4536"/>
      </w:tabs>
      <w:jc w:val="right"/>
      <w:rPr>
        <w:rFonts w:ascii="Arial" w:hAnsi="Arial" w:cs="Arial"/>
        <w:b/>
      </w:rPr>
    </w:pPr>
    <w:r>
      <w:rPr>
        <w:rFonts w:ascii="Arial" w:hAnsi="Arial" w:cs="Arial"/>
        <w:b/>
        <w:sz w:val="20"/>
        <w:szCs w:val="20"/>
      </w:rPr>
      <w:t xml:space="preserve">finančného výkazníctva, </w:t>
    </w:r>
    <w:r w:rsidRPr="00CA2FFF">
      <w:rPr>
        <w:rFonts w:ascii="Arial" w:hAnsi="Arial" w:cs="Arial"/>
        <w:b/>
        <w:sz w:val="20"/>
        <w:szCs w:val="20"/>
      </w:rPr>
      <w:t>ako boli prijaté Európskou úniou</w:t>
    </w:r>
  </w:p>
  <w:p w14:paraId="23426A9F" w14:textId="77777777" w:rsidR="006067E6" w:rsidRPr="00B70F82" w:rsidRDefault="006067E6" w:rsidP="00E06C62">
    <w:pPr>
      <w:pStyle w:val="Header"/>
      <w:tabs>
        <w:tab w:val="clear" w:pos="4536"/>
      </w:tabs>
      <w:jc w:val="both"/>
      <w:rPr>
        <w:rFonts w:ascii="Arial" w:hAnsi="Arial" w:cs="Arial"/>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BBC01" w14:textId="77777777" w:rsidR="006067E6" w:rsidRDefault="006067E6" w:rsidP="00CA2FFF">
    <w:pPr>
      <w:pStyle w:val="Header"/>
      <w:tabs>
        <w:tab w:val="clear" w:pos="4536"/>
      </w:tabs>
      <w:jc w:val="both"/>
      <w:rPr>
        <w:rFonts w:ascii="Arial" w:hAnsi="Arial" w:cs="Arial"/>
        <w:b/>
        <w:sz w:val="20"/>
        <w:szCs w:val="20"/>
      </w:rPr>
    </w:pPr>
    <w:r>
      <w:rPr>
        <w:noProof/>
      </w:rPr>
      <w:drawing>
        <wp:inline distT="0" distB="0" distL="0" distR="0" wp14:anchorId="0466524D" wp14:editId="646FFD42">
          <wp:extent cx="1695450" cy="276225"/>
          <wp:effectExtent l="0" t="0" r="0" b="9525"/>
          <wp:docPr id="89" name="Picture 89" descr="PRIVATB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RIVATBAN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276225"/>
                  </a:xfrm>
                  <a:prstGeom prst="rect">
                    <a:avLst/>
                  </a:prstGeom>
                  <a:noFill/>
                  <a:ln>
                    <a:noFill/>
                  </a:ln>
                </pic:spPr>
              </pic:pic>
            </a:graphicData>
          </a:graphic>
        </wp:inline>
      </w:drawing>
    </w:r>
    <w:r>
      <w:tab/>
    </w:r>
    <w:r w:rsidRPr="00E65A90">
      <w:rPr>
        <w:rFonts w:ascii="Arial" w:hAnsi="Arial" w:cs="Arial"/>
        <w:b/>
        <w:sz w:val="20"/>
        <w:szCs w:val="20"/>
      </w:rPr>
      <w:t>Výkaz</w:t>
    </w:r>
    <w:r w:rsidRPr="00CA2FFF">
      <w:rPr>
        <w:rFonts w:ascii="Arial" w:hAnsi="Arial" w:cs="Arial"/>
        <w:b/>
        <w:sz w:val="20"/>
        <w:szCs w:val="20"/>
      </w:rPr>
      <w:t xml:space="preserve"> ziskov a</w:t>
    </w:r>
    <w:r>
      <w:rPr>
        <w:rFonts w:ascii="Arial" w:hAnsi="Arial" w:cs="Arial"/>
        <w:b/>
        <w:sz w:val="20"/>
        <w:szCs w:val="20"/>
      </w:rPr>
      <w:t> </w:t>
    </w:r>
    <w:r w:rsidRPr="00CA2FFF">
      <w:rPr>
        <w:rFonts w:ascii="Arial" w:hAnsi="Arial" w:cs="Arial"/>
        <w:b/>
        <w:sz w:val="20"/>
        <w:szCs w:val="20"/>
      </w:rPr>
      <w:t>strát</w:t>
    </w:r>
    <w:r>
      <w:rPr>
        <w:rFonts w:ascii="Arial" w:hAnsi="Arial" w:cs="Arial"/>
        <w:b/>
        <w:sz w:val="20"/>
        <w:szCs w:val="20"/>
      </w:rPr>
      <w:t xml:space="preserve"> </w:t>
    </w:r>
    <w:r w:rsidRPr="00CA2FFF">
      <w:rPr>
        <w:rFonts w:ascii="Arial" w:hAnsi="Arial" w:cs="Arial"/>
        <w:b/>
        <w:sz w:val="20"/>
        <w:szCs w:val="20"/>
      </w:rPr>
      <w:t>za rok, ktorý sa</w:t>
    </w:r>
    <w:r>
      <w:rPr>
        <w:rFonts w:ascii="Arial" w:hAnsi="Arial" w:cs="Arial"/>
        <w:b/>
        <w:sz w:val="20"/>
        <w:szCs w:val="20"/>
      </w:rPr>
      <w:t xml:space="preserve"> </w:t>
    </w:r>
    <w:r w:rsidRPr="00CA2FFF">
      <w:rPr>
        <w:rFonts w:ascii="Arial" w:hAnsi="Arial" w:cs="Arial"/>
        <w:b/>
        <w:sz w:val="20"/>
        <w:szCs w:val="20"/>
      </w:rPr>
      <w:t>skončil</w:t>
    </w:r>
  </w:p>
  <w:p w14:paraId="29F84D8D" w14:textId="2D4DE27E" w:rsidR="006067E6" w:rsidRPr="00CA2FFF" w:rsidRDefault="006067E6" w:rsidP="00CA2FFF">
    <w:pPr>
      <w:pStyle w:val="Header"/>
      <w:tabs>
        <w:tab w:val="clear" w:pos="4536"/>
      </w:tabs>
      <w:jc w:val="right"/>
      <w:rPr>
        <w:rFonts w:ascii="Arial" w:hAnsi="Arial" w:cs="Arial"/>
        <w:b/>
        <w:sz w:val="20"/>
        <w:szCs w:val="20"/>
      </w:rPr>
    </w:pPr>
    <w:r w:rsidRPr="00CA2FFF">
      <w:rPr>
        <w:rFonts w:ascii="Arial" w:hAnsi="Arial" w:cs="Arial"/>
        <w:b/>
        <w:sz w:val="20"/>
        <w:szCs w:val="20"/>
      </w:rPr>
      <w:t>31. decembra 20</w:t>
    </w:r>
    <w:r>
      <w:rPr>
        <w:rFonts w:ascii="Arial" w:hAnsi="Arial" w:cs="Arial"/>
        <w:b/>
        <w:sz w:val="20"/>
        <w:szCs w:val="20"/>
      </w:rPr>
      <w:t>16,</w:t>
    </w:r>
    <w:r w:rsidRPr="00CA2FFF">
      <w:rPr>
        <w:rFonts w:ascii="Arial" w:hAnsi="Arial" w:cs="Arial"/>
        <w:b/>
        <w:sz w:val="20"/>
        <w:szCs w:val="20"/>
      </w:rPr>
      <w:t xml:space="preserve"> pripravený v súlade s Medzinárodnými štandardmi</w:t>
    </w:r>
  </w:p>
  <w:p w14:paraId="35C3F63C" w14:textId="77777777" w:rsidR="006067E6" w:rsidRPr="00CA2FFF" w:rsidRDefault="006067E6" w:rsidP="00CA2FFF">
    <w:pPr>
      <w:pStyle w:val="Header"/>
      <w:tabs>
        <w:tab w:val="clear" w:pos="4536"/>
      </w:tabs>
      <w:jc w:val="right"/>
      <w:rPr>
        <w:rFonts w:ascii="Arial" w:hAnsi="Arial" w:cs="Arial"/>
        <w:b/>
        <w:sz w:val="20"/>
        <w:szCs w:val="20"/>
      </w:rPr>
    </w:pPr>
    <w:r>
      <w:rPr>
        <w:rFonts w:ascii="Arial" w:hAnsi="Arial" w:cs="Arial"/>
        <w:b/>
        <w:sz w:val="20"/>
        <w:szCs w:val="20"/>
      </w:rPr>
      <w:t>finančného výkazníctva</w:t>
    </w:r>
    <w:r w:rsidRPr="00CA2FFF">
      <w:rPr>
        <w:rFonts w:ascii="Arial" w:hAnsi="Arial" w:cs="Arial"/>
        <w:b/>
        <w:sz w:val="20"/>
        <w:szCs w:val="20"/>
      </w:rPr>
      <w:t>, ako boli prijaté Európskou úniou</w:t>
    </w:r>
  </w:p>
  <w:p w14:paraId="39CA37BC" w14:textId="77777777" w:rsidR="006067E6" w:rsidRPr="00E06C62" w:rsidRDefault="006067E6" w:rsidP="00E06C62">
    <w:pPr>
      <w:pStyle w:val="Header"/>
      <w:tabs>
        <w:tab w:val="clear" w:pos="4536"/>
      </w:tabs>
      <w:jc w:val="both"/>
      <w:rPr>
        <w:rFonts w:ascii="Arial" w:hAnsi="Arial" w:cs="Arial"/>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295CB" w14:textId="77777777" w:rsidR="006067E6" w:rsidRDefault="006067E6" w:rsidP="00CA2FFF">
    <w:pPr>
      <w:pStyle w:val="Header"/>
      <w:tabs>
        <w:tab w:val="clear" w:pos="4536"/>
      </w:tabs>
      <w:jc w:val="both"/>
      <w:rPr>
        <w:rFonts w:ascii="Arial" w:hAnsi="Arial" w:cs="Arial"/>
        <w:b/>
        <w:sz w:val="20"/>
        <w:szCs w:val="20"/>
      </w:rPr>
    </w:pPr>
    <w:r>
      <w:rPr>
        <w:noProof/>
      </w:rPr>
      <w:drawing>
        <wp:inline distT="0" distB="0" distL="0" distR="0" wp14:anchorId="3753AA0A" wp14:editId="1FAF0C0A">
          <wp:extent cx="1695450" cy="276225"/>
          <wp:effectExtent l="0" t="0" r="0" b="9525"/>
          <wp:docPr id="90" name="Picture 90" descr="PRIVATB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RIVATBAN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276225"/>
                  </a:xfrm>
                  <a:prstGeom prst="rect">
                    <a:avLst/>
                  </a:prstGeom>
                  <a:noFill/>
                  <a:ln>
                    <a:noFill/>
                  </a:ln>
                </pic:spPr>
              </pic:pic>
            </a:graphicData>
          </a:graphic>
        </wp:inline>
      </w:drawing>
    </w:r>
    <w:r>
      <w:tab/>
    </w:r>
    <w:r w:rsidRPr="00E65A90">
      <w:rPr>
        <w:rFonts w:ascii="Arial" w:hAnsi="Arial" w:cs="Arial"/>
        <w:b/>
        <w:sz w:val="20"/>
        <w:szCs w:val="20"/>
      </w:rPr>
      <w:t>Výkaz súhrnného</w:t>
    </w:r>
    <w:r>
      <w:rPr>
        <w:rFonts w:ascii="Arial" w:hAnsi="Arial" w:cs="Arial"/>
        <w:b/>
        <w:sz w:val="20"/>
        <w:szCs w:val="20"/>
      </w:rPr>
      <w:t xml:space="preserve"> výsledku </w:t>
    </w:r>
    <w:r w:rsidRPr="00CA2FFF">
      <w:rPr>
        <w:rFonts w:ascii="Arial" w:hAnsi="Arial" w:cs="Arial"/>
        <w:b/>
        <w:sz w:val="20"/>
        <w:szCs w:val="20"/>
      </w:rPr>
      <w:t>za rok, ktorý sa</w:t>
    </w:r>
  </w:p>
  <w:p w14:paraId="26B96577" w14:textId="57EFC1ED" w:rsidR="006067E6" w:rsidRDefault="006067E6" w:rsidP="00CA2FFF">
    <w:pPr>
      <w:pStyle w:val="Header"/>
      <w:tabs>
        <w:tab w:val="clear" w:pos="4536"/>
      </w:tabs>
      <w:jc w:val="right"/>
      <w:rPr>
        <w:rFonts w:ascii="Arial" w:hAnsi="Arial" w:cs="Arial"/>
        <w:b/>
        <w:sz w:val="20"/>
        <w:szCs w:val="20"/>
      </w:rPr>
    </w:pPr>
    <w:r w:rsidRPr="00CA2FFF">
      <w:rPr>
        <w:rFonts w:ascii="Arial" w:hAnsi="Arial" w:cs="Arial"/>
        <w:b/>
        <w:sz w:val="20"/>
        <w:szCs w:val="20"/>
      </w:rPr>
      <w:t>skončil 31. decembra 20</w:t>
    </w:r>
    <w:r>
      <w:rPr>
        <w:rFonts w:ascii="Arial" w:hAnsi="Arial" w:cs="Arial"/>
        <w:b/>
        <w:sz w:val="20"/>
        <w:szCs w:val="20"/>
      </w:rPr>
      <w:t>16,</w:t>
    </w:r>
    <w:r w:rsidRPr="00CA2FFF">
      <w:rPr>
        <w:rFonts w:ascii="Arial" w:hAnsi="Arial" w:cs="Arial"/>
        <w:b/>
        <w:sz w:val="20"/>
        <w:szCs w:val="20"/>
      </w:rPr>
      <w:t xml:space="preserve"> pripravený v súlade s</w:t>
    </w:r>
    <w:r>
      <w:rPr>
        <w:rFonts w:ascii="Arial" w:hAnsi="Arial" w:cs="Arial"/>
        <w:b/>
        <w:sz w:val="20"/>
        <w:szCs w:val="20"/>
      </w:rPr>
      <w:t> </w:t>
    </w:r>
    <w:r w:rsidRPr="00CA2FFF">
      <w:rPr>
        <w:rFonts w:ascii="Arial" w:hAnsi="Arial" w:cs="Arial"/>
        <w:b/>
        <w:sz w:val="20"/>
        <w:szCs w:val="20"/>
      </w:rPr>
      <w:t>Medzinárodn</w:t>
    </w:r>
    <w:r>
      <w:rPr>
        <w:rFonts w:ascii="Arial" w:hAnsi="Arial" w:cs="Arial"/>
        <w:b/>
        <w:sz w:val="20"/>
        <w:szCs w:val="20"/>
      </w:rPr>
      <w:t>ými</w:t>
    </w:r>
  </w:p>
  <w:p w14:paraId="31763C1B" w14:textId="77777777" w:rsidR="006067E6" w:rsidRPr="00CA2FFF" w:rsidRDefault="006067E6" w:rsidP="00CA2FFF">
    <w:pPr>
      <w:pStyle w:val="Header"/>
      <w:tabs>
        <w:tab w:val="clear" w:pos="4536"/>
      </w:tabs>
      <w:jc w:val="right"/>
      <w:rPr>
        <w:rFonts w:ascii="Arial" w:hAnsi="Arial" w:cs="Arial"/>
        <w:b/>
        <w:sz w:val="20"/>
        <w:szCs w:val="20"/>
      </w:rPr>
    </w:pPr>
    <w:r w:rsidRPr="00CA2FFF">
      <w:rPr>
        <w:rFonts w:ascii="Arial" w:hAnsi="Arial" w:cs="Arial"/>
        <w:b/>
        <w:sz w:val="20"/>
        <w:szCs w:val="20"/>
      </w:rPr>
      <w:t>štandardm</w:t>
    </w:r>
    <w:r>
      <w:rPr>
        <w:rFonts w:ascii="Arial" w:hAnsi="Arial" w:cs="Arial"/>
        <w:b/>
        <w:sz w:val="20"/>
        <w:szCs w:val="20"/>
      </w:rPr>
      <w:t>i finančného výkazníctva</w:t>
    </w:r>
    <w:r w:rsidRPr="00CA2FFF">
      <w:rPr>
        <w:rFonts w:ascii="Arial" w:hAnsi="Arial" w:cs="Arial"/>
        <w:b/>
        <w:sz w:val="20"/>
        <w:szCs w:val="20"/>
      </w:rPr>
      <w:t>, ako boli prijaté Európskou úniou</w:t>
    </w:r>
  </w:p>
  <w:p w14:paraId="1FECA24A" w14:textId="77777777" w:rsidR="006067E6" w:rsidRPr="00E06C62" w:rsidRDefault="006067E6" w:rsidP="00E06C62">
    <w:pPr>
      <w:pStyle w:val="Header"/>
      <w:tabs>
        <w:tab w:val="clear" w:pos="4536"/>
      </w:tabs>
      <w:jc w:val="both"/>
      <w:rPr>
        <w:rFonts w:ascii="Arial" w:hAnsi="Arial" w:cs="Arial"/>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ACAA0" w14:textId="77777777" w:rsidR="006067E6" w:rsidRDefault="006067E6" w:rsidP="00CA2FFF">
    <w:pPr>
      <w:pStyle w:val="Header"/>
      <w:tabs>
        <w:tab w:val="clear" w:pos="4536"/>
      </w:tabs>
      <w:jc w:val="both"/>
      <w:rPr>
        <w:rFonts w:ascii="Arial" w:hAnsi="Arial" w:cs="Arial"/>
        <w:b/>
        <w:sz w:val="20"/>
        <w:szCs w:val="20"/>
      </w:rPr>
    </w:pPr>
    <w:r>
      <w:rPr>
        <w:noProof/>
      </w:rPr>
      <w:drawing>
        <wp:inline distT="0" distB="0" distL="0" distR="0" wp14:anchorId="196D9D46" wp14:editId="1D373E67">
          <wp:extent cx="1695450" cy="276225"/>
          <wp:effectExtent l="0" t="0" r="0" b="9525"/>
          <wp:docPr id="91" name="Picture 91" descr="PRIVATB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RIVATBAN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276225"/>
                  </a:xfrm>
                  <a:prstGeom prst="rect">
                    <a:avLst/>
                  </a:prstGeom>
                  <a:noFill/>
                  <a:ln>
                    <a:noFill/>
                  </a:ln>
                </pic:spPr>
              </pic:pic>
            </a:graphicData>
          </a:graphic>
        </wp:inline>
      </w:drawing>
    </w:r>
    <w:r>
      <w:tab/>
    </w:r>
    <w:r w:rsidRPr="00E65A90">
      <w:rPr>
        <w:rFonts w:ascii="Arial" w:hAnsi="Arial" w:cs="Arial"/>
        <w:b/>
        <w:sz w:val="20"/>
        <w:szCs w:val="20"/>
      </w:rPr>
      <w:t>Výkaz zmien</w:t>
    </w:r>
    <w:r w:rsidRPr="00CA2FFF">
      <w:rPr>
        <w:rFonts w:ascii="Arial" w:hAnsi="Arial" w:cs="Arial"/>
        <w:b/>
        <w:sz w:val="20"/>
        <w:szCs w:val="20"/>
      </w:rPr>
      <w:t xml:space="preserve"> vlastn</w:t>
    </w:r>
    <w:r>
      <w:rPr>
        <w:rFonts w:ascii="Arial" w:hAnsi="Arial" w:cs="Arial"/>
        <w:b/>
        <w:sz w:val="20"/>
        <w:szCs w:val="20"/>
      </w:rPr>
      <w:t>ého</w:t>
    </w:r>
    <w:r w:rsidRPr="00CA2FFF">
      <w:rPr>
        <w:rFonts w:ascii="Arial" w:hAnsi="Arial" w:cs="Arial"/>
        <w:b/>
        <w:sz w:val="20"/>
        <w:szCs w:val="20"/>
      </w:rPr>
      <w:t xml:space="preserve"> iman</w:t>
    </w:r>
    <w:r>
      <w:rPr>
        <w:rFonts w:ascii="Arial" w:hAnsi="Arial" w:cs="Arial"/>
        <w:b/>
        <w:sz w:val="20"/>
        <w:szCs w:val="20"/>
      </w:rPr>
      <w:t xml:space="preserve">ia </w:t>
    </w:r>
    <w:r w:rsidRPr="00CA2FFF">
      <w:rPr>
        <w:rFonts w:ascii="Arial" w:hAnsi="Arial" w:cs="Arial"/>
        <w:b/>
        <w:sz w:val="20"/>
        <w:szCs w:val="20"/>
      </w:rPr>
      <w:t>za rok, ktorý sa</w:t>
    </w:r>
  </w:p>
  <w:p w14:paraId="704C2A46" w14:textId="3793A09B" w:rsidR="006067E6" w:rsidRDefault="006067E6" w:rsidP="00CA2FFF">
    <w:pPr>
      <w:pStyle w:val="Header"/>
      <w:tabs>
        <w:tab w:val="clear" w:pos="4536"/>
      </w:tabs>
      <w:jc w:val="right"/>
      <w:rPr>
        <w:rFonts w:ascii="Arial" w:hAnsi="Arial" w:cs="Arial"/>
        <w:b/>
        <w:sz w:val="20"/>
        <w:szCs w:val="20"/>
      </w:rPr>
    </w:pPr>
    <w:r w:rsidRPr="00CA2FFF">
      <w:rPr>
        <w:rFonts w:ascii="Arial" w:hAnsi="Arial" w:cs="Arial"/>
        <w:b/>
        <w:sz w:val="20"/>
        <w:szCs w:val="20"/>
      </w:rPr>
      <w:t>skončil 31. decembra 20</w:t>
    </w:r>
    <w:r>
      <w:rPr>
        <w:rFonts w:ascii="Arial" w:hAnsi="Arial" w:cs="Arial"/>
        <w:b/>
        <w:sz w:val="20"/>
        <w:szCs w:val="20"/>
      </w:rPr>
      <w:t>16,</w:t>
    </w:r>
    <w:r w:rsidRPr="00CA2FFF">
      <w:rPr>
        <w:rFonts w:ascii="Arial" w:hAnsi="Arial" w:cs="Arial"/>
        <w:b/>
        <w:sz w:val="20"/>
        <w:szCs w:val="20"/>
      </w:rPr>
      <w:t xml:space="preserve"> pripravený v súlade s</w:t>
    </w:r>
    <w:r>
      <w:rPr>
        <w:rFonts w:ascii="Arial" w:hAnsi="Arial" w:cs="Arial"/>
        <w:b/>
        <w:sz w:val="20"/>
        <w:szCs w:val="20"/>
      </w:rPr>
      <w:t> </w:t>
    </w:r>
    <w:r w:rsidRPr="00CA2FFF">
      <w:rPr>
        <w:rFonts w:ascii="Arial" w:hAnsi="Arial" w:cs="Arial"/>
        <w:b/>
        <w:sz w:val="20"/>
        <w:szCs w:val="20"/>
      </w:rPr>
      <w:t>Medzinárodn</w:t>
    </w:r>
    <w:r>
      <w:rPr>
        <w:rFonts w:ascii="Arial" w:hAnsi="Arial" w:cs="Arial"/>
        <w:b/>
        <w:sz w:val="20"/>
        <w:szCs w:val="20"/>
      </w:rPr>
      <w:t>ými</w:t>
    </w:r>
  </w:p>
  <w:p w14:paraId="34FEAA94" w14:textId="77777777" w:rsidR="006067E6" w:rsidRPr="00CA2FFF" w:rsidRDefault="006067E6" w:rsidP="00CA2FFF">
    <w:pPr>
      <w:pStyle w:val="Header"/>
      <w:tabs>
        <w:tab w:val="clear" w:pos="4536"/>
      </w:tabs>
      <w:jc w:val="right"/>
      <w:rPr>
        <w:rFonts w:ascii="Arial" w:hAnsi="Arial" w:cs="Arial"/>
        <w:b/>
        <w:sz w:val="20"/>
        <w:szCs w:val="20"/>
      </w:rPr>
    </w:pPr>
    <w:r w:rsidRPr="00CA2FFF">
      <w:rPr>
        <w:rFonts w:ascii="Arial" w:hAnsi="Arial" w:cs="Arial"/>
        <w:b/>
        <w:sz w:val="20"/>
        <w:szCs w:val="20"/>
      </w:rPr>
      <w:t>štandardm</w:t>
    </w:r>
    <w:r>
      <w:rPr>
        <w:rFonts w:ascii="Arial" w:hAnsi="Arial" w:cs="Arial"/>
        <w:b/>
        <w:sz w:val="20"/>
        <w:szCs w:val="20"/>
      </w:rPr>
      <w:t>i finančného výkazníctva</w:t>
    </w:r>
    <w:r w:rsidRPr="00CA2FFF">
      <w:rPr>
        <w:rFonts w:ascii="Arial" w:hAnsi="Arial" w:cs="Arial"/>
        <w:b/>
        <w:sz w:val="20"/>
        <w:szCs w:val="20"/>
      </w:rPr>
      <w:t>, ako boli prijaté Európskou úniou</w:t>
    </w:r>
  </w:p>
  <w:p w14:paraId="28E2C004" w14:textId="77777777" w:rsidR="006067E6" w:rsidRPr="00E06C62" w:rsidRDefault="006067E6" w:rsidP="00E06C62">
    <w:pPr>
      <w:pStyle w:val="Header"/>
      <w:tabs>
        <w:tab w:val="clear" w:pos="4536"/>
      </w:tabs>
      <w:jc w:val="both"/>
      <w:rPr>
        <w:rFonts w:ascii="Arial" w:hAnsi="Arial" w:cs="Arial"/>
        <w: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C5492" w14:textId="77777777" w:rsidR="006067E6" w:rsidRDefault="006067E6" w:rsidP="00E06C62">
    <w:pPr>
      <w:pStyle w:val="Header"/>
      <w:tabs>
        <w:tab w:val="clear" w:pos="4536"/>
      </w:tabs>
      <w:jc w:val="both"/>
      <w:rPr>
        <w:rFonts w:ascii="Arial" w:hAnsi="Arial" w:cs="Arial"/>
        <w:b/>
        <w:sz w:val="20"/>
        <w:szCs w:val="20"/>
      </w:rPr>
    </w:pPr>
    <w:r>
      <w:rPr>
        <w:noProof/>
      </w:rPr>
      <w:drawing>
        <wp:inline distT="0" distB="0" distL="0" distR="0" wp14:anchorId="6B61C331" wp14:editId="208A1D79">
          <wp:extent cx="1695450" cy="276225"/>
          <wp:effectExtent l="0" t="0" r="0" b="9525"/>
          <wp:docPr id="92" name="Picture 92" descr="PRIVATB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RIVATBAN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276225"/>
                  </a:xfrm>
                  <a:prstGeom prst="rect">
                    <a:avLst/>
                  </a:prstGeom>
                  <a:noFill/>
                  <a:ln>
                    <a:noFill/>
                  </a:ln>
                </pic:spPr>
              </pic:pic>
            </a:graphicData>
          </a:graphic>
        </wp:inline>
      </w:drawing>
    </w:r>
    <w:r>
      <w:tab/>
    </w:r>
    <w:r w:rsidRPr="00E65A90">
      <w:rPr>
        <w:rFonts w:ascii="Arial" w:hAnsi="Arial" w:cs="Arial"/>
        <w:b/>
        <w:sz w:val="20"/>
        <w:szCs w:val="20"/>
      </w:rPr>
      <w:t>Výkaz peňažných</w:t>
    </w:r>
    <w:r w:rsidRPr="00CA2FFF">
      <w:rPr>
        <w:rFonts w:ascii="Arial" w:hAnsi="Arial" w:cs="Arial"/>
        <w:b/>
        <w:sz w:val="20"/>
        <w:szCs w:val="20"/>
      </w:rPr>
      <w:t xml:space="preserve"> tokov</w:t>
    </w:r>
    <w:r>
      <w:rPr>
        <w:rFonts w:ascii="Arial" w:hAnsi="Arial" w:cs="Arial"/>
        <w:b/>
        <w:sz w:val="20"/>
        <w:szCs w:val="20"/>
      </w:rPr>
      <w:t xml:space="preserve"> </w:t>
    </w:r>
    <w:r w:rsidRPr="00CA2FFF">
      <w:rPr>
        <w:rFonts w:ascii="Arial" w:hAnsi="Arial" w:cs="Arial"/>
        <w:b/>
        <w:sz w:val="20"/>
        <w:szCs w:val="20"/>
      </w:rPr>
      <w:t>za rok, ktorý sa skončil</w:t>
    </w:r>
  </w:p>
  <w:p w14:paraId="18B529AD" w14:textId="5339BB73" w:rsidR="006067E6" w:rsidRDefault="006067E6" w:rsidP="00CA2FFF">
    <w:pPr>
      <w:pStyle w:val="Header"/>
      <w:tabs>
        <w:tab w:val="clear" w:pos="4536"/>
      </w:tabs>
      <w:jc w:val="right"/>
      <w:rPr>
        <w:rFonts w:ascii="Arial" w:hAnsi="Arial" w:cs="Arial"/>
        <w:b/>
        <w:sz w:val="20"/>
        <w:szCs w:val="20"/>
      </w:rPr>
    </w:pPr>
    <w:r w:rsidRPr="00CA2FFF">
      <w:rPr>
        <w:rFonts w:ascii="Arial" w:hAnsi="Arial" w:cs="Arial"/>
        <w:b/>
        <w:sz w:val="20"/>
        <w:szCs w:val="20"/>
      </w:rPr>
      <w:t>31. decembra 20</w:t>
    </w:r>
    <w:r>
      <w:rPr>
        <w:rFonts w:ascii="Arial" w:hAnsi="Arial" w:cs="Arial"/>
        <w:b/>
        <w:sz w:val="20"/>
        <w:szCs w:val="20"/>
      </w:rPr>
      <w:t>16, pripravený v súlade s Medzinárodnými štandardmi</w:t>
    </w:r>
  </w:p>
  <w:p w14:paraId="790C9402" w14:textId="77777777" w:rsidR="006067E6" w:rsidRPr="00CA2FFF" w:rsidRDefault="006067E6" w:rsidP="00CA2FFF">
    <w:pPr>
      <w:pStyle w:val="Header"/>
      <w:tabs>
        <w:tab w:val="clear" w:pos="4536"/>
      </w:tabs>
      <w:jc w:val="right"/>
      <w:rPr>
        <w:rFonts w:ascii="Arial" w:hAnsi="Arial" w:cs="Arial"/>
        <w:b/>
        <w:sz w:val="20"/>
        <w:szCs w:val="20"/>
      </w:rPr>
    </w:pPr>
    <w:r>
      <w:rPr>
        <w:rFonts w:ascii="Arial" w:hAnsi="Arial" w:cs="Arial"/>
        <w:b/>
        <w:sz w:val="20"/>
        <w:szCs w:val="20"/>
      </w:rPr>
      <w:t>finančného výkazníctva, ako boli prijaté Európskou úniou</w:t>
    </w:r>
  </w:p>
  <w:p w14:paraId="7296F979" w14:textId="77777777" w:rsidR="006067E6" w:rsidRPr="00E06C62" w:rsidRDefault="006067E6" w:rsidP="00E06C62">
    <w:pPr>
      <w:pStyle w:val="Header"/>
      <w:tabs>
        <w:tab w:val="clear" w:pos="4536"/>
      </w:tabs>
      <w:jc w:val="both"/>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10FC5"/>
    <w:multiLevelType w:val="hybridMultilevel"/>
    <w:tmpl w:val="BEBEFD58"/>
    <w:lvl w:ilvl="0" w:tplc="BA085E1C">
      <w:start w:val="1"/>
      <w:numFmt w:val="lowerLetter"/>
      <w:lvlText w:val="(%1)"/>
      <w:lvlJc w:val="left"/>
      <w:pPr>
        <w:tabs>
          <w:tab w:val="num" w:pos="930"/>
        </w:tabs>
        <w:ind w:left="930" w:hanging="57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nsid w:val="0BE208CB"/>
    <w:multiLevelType w:val="multilevel"/>
    <w:tmpl w:val="EDC8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117F59"/>
    <w:multiLevelType w:val="hybridMultilevel"/>
    <w:tmpl w:val="2550F788"/>
    <w:lvl w:ilvl="0" w:tplc="934C2FE8">
      <w:start w:val="1"/>
      <w:numFmt w:val="lowerLetter"/>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
    <w:nsid w:val="0D53585E"/>
    <w:multiLevelType w:val="hybridMultilevel"/>
    <w:tmpl w:val="2E0CC82E"/>
    <w:lvl w:ilvl="0" w:tplc="57FA904C">
      <w:start w:val="1"/>
      <w:numFmt w:val="lowerLetter"/>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4">
    <w:nsid w:val="0E366C5D"/>
    <w:multiLevelType w:val="hybridMultilevel"/>
    <w:tmpl w:val="D7963D94"/>
    <w:lvl w:ilvl="0" w:tplc="658AC7F6">
      <w:start w:val="1"/>
      <w:numFmt w:val="bullet"/>
      <w:lvlText w:val=""/>
      <w:lvlJc w:val="left"/>
      <w:pPr>
        <w:ind w:left="720" w:hanging="360"/>
      </w:pPr>
      <w:rPr>
        <w:rFonts w:ascii="Symbol" w:hAnsi="Symbol" w:hint="default"/>
        <w:b w:val="0"/>
        <w:i w:val="0"/>
        <w:color w:val="auto"/>
        <w:sz w:val="20"/>
        <w:szCs w:val="17"/>
        <w:u w:color="00008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54F3BFD"/>
    <w:multiLevelType w:val="hybridMultilevel"/>
    <w:tmpl w:val="604472F4"/>
    <w:lvl w:ilvl="0" w:tplc="4BF67B2A">
      <w:start w:val="1"/>
      <w:numFmt w:val="lowerLetter"/>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6">
    <w:nsid w:val="1C29182D"/>
    <w:multiLevelType w:val="hybridMultilevel"/>
    <w:tmpl w:val="6218B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0127FCB"/>
    <w:multiLevelType w:val="hybridMultilevel"/>
    <w:tmpl w:val="82E048EA"/>
    <w:lvl w:ilvl="0" w:tplc="BE50BBC2">
      <w:start w:val="1"/>
      <w:numFmt w:val="lowerLetter"/>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8">
    <w:nsid w:val="219E7374"/>
    <w:multiLevelType w:val="hybridMultilevel"/>
    <w:tmpl w:val="118219E0"/>
    <w:lvl w:ilvl="0" w:tplc="19EE16DE">
      <w:start w:val="1"/>
      <w:numFmt w:val="bullet"/>
      <w:lvlText w:val=""/>
      <w:lvlJc w:val="left"/>
      <w:pPr>
        <w:tabs>
          <w:tab w:val="num" w:pos="900"/>
        </w:tabs>
        <w:ind w:left="900" w:hanging="360"/>
      </w:pPr>
      <w:rPr>
        <w:rFonts w:ascii="Wingdings" w:hAnsi="Wingdings" w:hint="default"/>
      </w:rPr>
    </w:lvl>
    <w:lvl w:ilvl="1" w:tplc="041B0003" w:tentative="1">
      <w:start w:val="1"/>
      <w:numFmt w:val="bullet"/>
      <w:lvlText w:val="o"/>
      <w:lvlJc w:val="left"/>
      <w:pPr>
        <w:tabs>
          <w:tab w:val="num" w:pos="900"/>
        </w:tabs>
        <w:ind w:left="900" w:hanging="360"/>
      </w:pPr>
      <w:rPr>
        <w:rFonts w:ascii="Courier New" w:hAnsi="Courier New" w:cs="Courier New" w:hint="default"/>
      </w:rPr>
    </w:lvl>
    <w:lvl w:ilvl="2" w:tplc="041B0005" w:tentative="1">
      <w:start w:val="1"/>
      <w:numFmt w:val="bullet"/>
      <w:lvlText w:val=""/>
      <w:lvlJc w:val="left"/>
      <w:pPr>
        <w:tabs>
          <w:tab w:val="num" w:pos="1620"/>
        </w:tabs>
        <w:ind w:left="1620" w:hanging="360"/>
      </w:pPr>
      <w:rPr>
        <w:rFonts w:ascii="Wingdings" w:hAnsi="Wingdings" w:hint="default"/>
      </w:rPr>
    </w:lvl>
    <w:lvl w:ilvl="3" w:tplc="041B0001" w:tentative="1">
      <w:start w:val="1"/>
      <w:numFmt w:val="bullet"/>
      <w:lvlText w:val=""/>
      <w:lvlJc w:val="left"/>
      <w:pPr>
        <w:tabs>
          <w:tab w:val="num" w:pos="2340"/>
        </w:tabs>
        <w:ind w:left="2340" w:hanging="360"/>
      </w:pPr>
      <w:rPr>
        <w:rFonts w:ascii="Symbol" w:hAnsi="Symbol" w:hint="default"/>
      </w:rPr>
    </w:lvl>
    <w:lvl w:ilvl="4" w:tplc="041B0003" w:tentative="1">
      <w:start w:val="1"/>
      <w:numFmt w:val="bullet"/>
      <w:lvlText w:val="o"/>
      <w:lvlJc w:val="left"/>
      <w:pPr>
        <w:tabs>
          <w:tab w:val="num" w:pos="3060"/>
        </w:tabs>
        <w:ind w:left="3060" w:hanging="360"/>
      </w:pPr>
      <w:rPr>
        <w:rFonts w:ascii="Courier New" w:hAnsi="Courier New" w:cs="Courier New" w:hint="default"/>
      </w:rPr>
    </w:lvl>
    <w:lvl w:ilvl="5" w:tplc="041B0005" w:tentative="1">
      <w:start w:val="1"/>
      <w:numFmt w:val="bullet"/>
      <w:lvlText w:val=""/>
      <w:lvlJc w:val="left"/>
      <w:pPr>
        <w:tabs>
          <w:tab w:val="num" w:pos="3780"/>
        </w:tabs>
        <w:ind w:left="3780" w:hanging="360"/>
      </w:pPr>
      <w:rPr>
        <w:rFonts w:ascii="Wingdings" w:hAnsi="Wingdings" w:hint="default"/>
      </w:rPr>
    </w:lvl>
    <w:lvl w:ilvl="6" w:tplc="041B0001" w:tentative="1">
      <w:start w:val="1"/>
      <w:numFmt w:val="bullet"/>
      <w:lvlText w:val=""/>
      <w:lvlJc w:val="left"/>
      <w:pPr>
        <w:tabs>
          <w:tab w:val="num" w:pos="4500"/>
        </w:tabs>
        <w:ind w:left="4500" w:hanging="360"/>
      </w:pPr>
      <w:rPr>
        <w:rFonts w:ascii="Symbol" w:hAnsi="Symbol" w:hint="default"/>
      </w:rPr>
    </w:lvl>
    <w:lvl w:ilvl="7" w:tplc="041B0003" w:tentative="1">
      <w:start w:val="1"/>
      <w:numFmt w:val="bullet"/>
      <w:lvlText w:val="o"/>
      <w:lvlJc w:val="left"/>
      <w:pPr>
        <w:tabs>
          <w:tab w:val="num" w:pos="5220"/>
        </w:tabs>
        <w:ind w:left="5220" w:hanging="360"/>
      </w:pPr>
      <w:rPr>
        <w:rFonts w:ascii="Courier New" w:hAnsi="Courier New" w:cs="Courier New" w:hint="default"/>
      </w:rPr>
    </w:lvl>
    <w:lvl w:ilvl="8" w:tplc="041B0005" w:tentative="1">
      <w:start w:val="1"/>
      <w:numFmt w:val="bullet"/>
      <w:lvlText w:val=""/>
      <w:lvlJc w:val="left"/>
      <w:pPr>
        <w:tabs>
          <w:tab w:val="num" w:pos="5940"/>
        </w:tabs>
        <w:ind w:left="5940" w:hanging="360"/>
      </w:pPr>
      <w:rPr>
        <w:rFonts w:ascii="Wingdings" w:hAnsi="Wingdings" w:hint="default"/>
      </w:rPr>
    </w:lvl>
  </w:abstractNum>
  <w:abstractNum w:abstractNumId="9">
    <w:nsid w:val="23081305"/>
    <w:multiLevelType w:val="hybridMultilevel"/>
    <w:tmpl w:val="91363C0A"/>
    <w:lvl w:ilvl="0" w:tplc="BA085E1C">
      <w:start w:val="1"/>
      <w:numFmt w:val="lowerLetter"/>
      <w:lvlText w:val="(%1)"/>
      <w:lvlJc w:val="left"/>
      <w:pPr>
        <w:tabs>
          <w:tab w:val="num" w:pos="930"/>
        </w:tabs>
        <w:ind w:left="930" w:hanging="57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nsid w:val="250D0D29"/>
    <w:multiLevelType w:val="hybridMultilevel"/>
    <w:tmpl w:val="15FCE44C"/>
    <w:lvl w:ilvl="0" w:tplc="48C64076">
      <w:start w:val="1"/>
      <w:numFmt w:val="decimal"/>
      <w:lvlText w:val="%1. "/>
      <w:legacy w:legacy="1" w:legacySpace="0" w:legacyIndent="283"/>
      <w:lvlJc w:val="left"/>
      <w:pPr>
        <w:ind w:left="5529" w:hanging="283"/>
      </w:pPr>
      <w:rPr>
        <w:b w:val="0"/>
        <w:bCs w:val="0"/>
        <w:i w:val="0"/>
        <w:iCs w:val="0"/>
        <w:sz w:val="20"/>
        <w:szCs w:val="2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nsid w:val="29BF4BD4"/>
    <w:multiLevelType w:val="hybridMultilevel"/>
    <w:tmpl w:val="39A6228E"/>
    <w:lvl w:ilvl="0" w:tplc="BA085E1C">
      <w:start w:val="1"/>
      <w:numFmt w:val="lowerLetter"/>
      <w:lvlText w:val="(%1)"/>
      <w:lvlJc w:val="left"/>
      <w:pPr>
        <w:tabs>
          <w:tab w:val="num" w:pos="930"/>
        </w:tabs>
        <w:ind w:left="930" w:hanging="57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2">
    <w:nsid w:val="2D8872AB"/>
    <w:multiLevelType w:val="singleLevel"/>
    <w:tmpl w:val="48C64076"/>
    <w:lvl w:ilvl="0">
      <w:start w:val="1"/>
      <w:numFmt w:val="decimal"/>
      <w:lvlText w:val="%1. "/>
      <w:legacy w:legacy="1" w:legacySpace="0" w:legacyIndent="283"/>
      <w:lvlJc w:val="left"/>
      <w:pPr>
        <w:ind w:left="5529" w:hanging="283"/>
      </w:pPr>
      <w:rPr>
        <w:b w:val="0"/>
        <w:bCs w:val="0"/>
        <w:i w:val="0"/>
        <w:iCs w:val="0"/>
        <w:sz w:val="20"/>
        <w:szCs w:val="20"/>
      </w:rPr>
    </w:lvl>
  </w:abstractNum>
  <w:abstractNum w:abstractNumId="13">
    <w:nsid w:val="370A3250"/>
    <w:multiLevelType w:val="hybridMultilevel"/>
    <w:tmpl w:val="F182C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7C24CD1"/>
    <w:multiLevelType w:val="hybridMultilevel"/>
    <w:tmpl w:val="9954B54C"/>
    <w:lvl w:ilvl="0" w:tplc="3980348A">
      <w:start w:val="1"/>
      <w:numFmt w:val="bullet"/>
      <w:lvlText w:val=""/>
      <w:lvlJc w:val="left"/>
      <w:pPr>
        <w:tabs>
          <w:tab w:val="num" w:pos="927"/>
        </w:tabs>
        <w:ind w:left="927" w:hanging="360"/>
      </w:pPr>
      <w:rPr>
        <w:rFonts w:ascii="Wingdings" w:hAnsi="Wingdings" w:hint="default"/>
      </w:rPr>
    </w:lvl>
    <w:lvl w:ilvl="1" w:tplc="F692BF10" w:tentative="1">
      <w:start w:val="1"/>
      <w:numFmt w:val="lowerLetter"/>
      <w:lvlText w:val="%2."/>
      <w:lvlJc w:val="left"/>
      <w:pPr>
        <w:tabs>
          <w:tab w:val="num" w:pos="1287"/>
        </w:tabs>
        <w:ind w:left="1287" w:hanging="360"/>
      </w:pPr>
    </w:lvl>
    <w:lvl w:ilvl="2" w:tplc="3DF2FF3C" w:tentative="1">
      <w:start w:val="1"/>
      <w:numFmt w:val="lowerRoman"/>
      <w:lvlText w:val="%3."/>
      <w:lvlJc w:val="right"/>
      <w:pPr>
        <w:tabs>
          <w:tab w:val="num" w:pos="2007"/>
        </w:tabs>
        <w:ind w:left="2007" w:hanging="180"/>
      </w:pPr>
    </w:lvl>
    <w:lvl w:ilvl="3" w:tplc="59EE8D20" w:tentative="1">
      <w:start w:val="1"/>
      <w:numFmt w:val="decimal"/>
      <w:lvlText w:val="%4."/>
      <w:lvlJc w:val="left"/>
      <w:pPr>
        <w:tabs>
          <w:tab w:val="num" w:pos="2727"/>
        </w:tabs>
        <w:ind w:left="2727" w:hanging="360"/>
      </w:pPr>
    </w:lvl>
    <w:lvl w:ilvl="4" w:tplc="ADCA934E" w:tentative="1">
      <w:start w:val="1"/>
      <w:numFmt w:val="lowerLetter"/>
      <w:lvlText w:val="%5."/>
      <w:lvlJc w:val="left"/>
      <w:pPr>
        <w:tabs>
          <w:tab w:val="num" w:pos="3447"/>
        </w:tabs>
        <w:ind w:left="3447" w:hanging="360"/>
      </w:pPr>
    </w:lvl>
    <w:lvl w:ilvl="5" w:tplc="A3047682" w:tentative="1">
      <w:start w:val="1"/>
      <w:numFmt w:val="lowerRoman"/>
      <w:lvlText w:val="%6."/>
      <w:lvlJc w:val="right"/>
      <w:pPr>
        <w:tabs>
          <w:tab w:val="num" w:pos="4167"/>
        </w:tabs>
        <w:ind w:left="4167" w:hanging="180"/>
      </w:pPr>
    </w:lvl>
    <w:lvl w:ilvl="6" w:tplc="C27807B8" w:tentative="1">
      <w:start w:val="1"/>
      <w:numFmt w:val="decimal"/>
      <w:lvlText w:val="%7."/>
      <w:lvlJc w:val="left"/>
      <w:pPr>
        <w:tabs>
          <w:tab w:val="num" w:pos="4887"/>
        </w:tabs>
        <w:ind w:left="4887" w:hanging="360"/>
      </w:pPr>
    </w:lvl>
    <w:lvl w:ilvl="7" w:tplc="57F6FCFE" w:tentative="1">
      <w:start w:val="1"/>
      <w:numFmt w:val="lowerLetter"/>
      <w:lvlText w:val="%8."/>
      <w:lvlJc w:val="left"/>
      <w:pPr>
        <w:tabs>
          <w:tab w:val="num" w:pos="5607"/>
        </w:tabs>
        <w:ind w:left="5607" w:hanging="360"/>
      </w:pPr>
    </w:lvl>
    <w:lvl w:ilvl="8" w:tplc="36DAD57E" w:tentative="1">
      <w:start w:val="1"/>
      <w:numFmt w:val="lowerRoman"/>
      <w:lvlText w:val="%9."/>
      <w:lvlJc w:val="right"/>
      <w:pPr>
        <w:tabs>
          <w:tab w:val="num" w:pos="6327"/>
        </w:tabs>
        <w:ind w:left="6327" w:hanging="180"/>
      </w:pPr>
    </w:lvl>
  </w:abstractNum>
  <w:abstractNum w:abstractNumId="15">
    <w:nsid w:val="39BF1F02"/>
    <w:multiLevelType w:val="hybridMultilevel"/>
    <w:tmpl w:val="5CE891B8"/>
    <w:lvl w:ilvl="0" w:tplc="04090001">
      <w:start w:val="1"/>
      <w:numFmt w:val="bullet"/>
      <w:lvlText w:val=""/>
      <w:lvlJc w:val="left"/>
      <w:pPr>
        <w:ind w:left="360" w:hanging="360"/>
      </w:pPr>
      <w:rPr>
        <w:rFonts w:ascii="Symbol" w:hAnsi="Symbol" w:hint="default"/>
        <w:b w:val="0"/>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C31949"/>
    <w:multiLevelType w:val="hybridMultilevel"/>
    <w:tmpl w:val="F5C2D294"/>
    <w:lvl w:ilvl="0" w:tplc="04090005">
      <w:start w:val="1"/>
      <w:numFmt w:val="bullet"/>
      <w:lvlText w:val=""/>
      <w:lvlJc w:val="left"/>
      <w:pPr>
        <w:ind w:left="927" w:hanging="360"/>
      </w:pPr>
      <w:rPr>
        <w:rFonts w:ascii="Wingdings" w:hAnsi="Wingdings" w:hint="default"/>
      </w:rPr>
    </w:lvl>
    <w:lvl w:ilvl="1" w:tplc="04090019" w:tentative="1">
      <w:start w:val="1"/>
      <w:numFmt w:val="bullet"/>
      <w:lvlText w:val="o"/>
      <w:lvlJc w:val="left"/>
      <w:pPr>
        <w:ind w:left="1647" w:hanging="360"/>
      </w:pPr>
      <w:rPr>
        <w:rFonts w:ascii="Courier New" w:hAnsi="Courier New" w:cs="Courier New" w:hint="default"/>
      </w:rPr>
    </w:lvl>
    <w:lvl w:ilvl="2" w:tplc="0409001B" w:tentative="1">
      <w:start w:val="1"/>
      <w:numFmt w:val="bullet"/>
      <w:lvlText w:val=""/>
      <w:lvlJc w:val="left"/>
      <w:pPr>
        <w:ind w:left="2367" w:hanging="360"/>
      </w:pPr>
      <w:rPr>
        <w:rFonts w:ascii="Wingdings" w:hAnsi="Wingdings" w:hint="default"/>
      </w:rPr>
    </w:lvl>
    <w:lvl w:ilvl="3" w:tplc="0409000F" w:tentative="1">
      <w:start w:val="1"/>
      <w:numFmt w:val="bullet"/>
      <w:lvlText w:val=""/>
      <w:lvlJc w:val="left"/>
      <w:pPr>
        <w:ind w:left="3087" w:hanging="360"/>
      </w:pPr>
      <w:rPr>
        <w:rFonts w:ascii="Symbol" w:hAnsi="Symbol" w:hint="default"/>
      </w:rPr>
    </w:lvl>
    <w:lvl w:ilvl="4" w:tplc="04090019" w:tentative="1">
      <w:start w:val="1"/>
      <w:numFmt w:val="bullet"/>
      <w:lvlText w:val="o"/>
      <w:lvlJc w:val="left"/>
      <w:pPr>
        <w:ind w:left="3807" w:hanging="360"/>
      </w:pPr>
      <w:rPr>
        <w:rFonts w:ascii="Courier New" w:hAnsi="Courier New" w:cs="Courier New" w:hint="default"/>
      </w:rPr>
    </w:lvl>
    <w:lvl w:ilvl="5" w:tplc="0409001B" w:tentative="1">
      <w:start w:val="1"/>
      <w:numFmt w:val="bullet"/>
      <w:lvlText w:val=""/>
      <w:lvlJc w:val="left"/>
      <w:pPr>
        <w:ind w:left="4527" w:hanging="360"/>
      </w:pPr>
      <w:rPr>
        <w:rFonts w:ascii="Wingdings" w:hAnsi="Wingdings" w:hint="default"/>
      </w:rPr>
    </w:lvl>
    <w:lvl w:ilvl="6" w:tplc="0409000F" w:tentative="1">
      <w:start w:val="1"/>
      <w:numFmt w:val="bullet"/>
      <w:lvlText w:val=""/>
      <w:lvlJc w:val="left"/>
      <w:pPr>
        <w:ind w:left="5247" w:hanging="360"/>
      </w:pPr>
      <w:rPr>
        <w:rFonts w:ascii="Symbol" w:hAnsi="Symbol" w:hint="default"/>
      </w:rPr>
    </w:lvl>
    <w:lvl w:ilvl="7" w:tplc="04090019" w:tentative="1">
      <w:start w:val="1"/>
      <w:numFmt w:val="bullet"/>
      <w:lvlText w:val="o"/>
      <w:lvlJc w:val="left"/>
      <w:pPr>
        <w:ind w:left="5967" w:hanging="360"/>
      </w:pPr>
      <w:rPr>
        <w:rFonts w:ascii="Courier New" w:hAnsi="Courier New" w:cs="Courier New" w:hint="default"/>
      </w:rPr>
    </w:lvl>
    <w:lvl w:ilvl="8" w:tplc="0409001B" w:tentative="1">
      <w:start w:val="1"/>
      <w:numFmt w:val="bullet"/>
      <w:lvlText w:val=""/>
      <w:lvlJc w:val="left"/>
      <w:pPr>
        <w:ind w:left="6687" w:hanging="360"/>
      </w:pPr>
      <w:rPr>
        <w:rFonts w:ascii="Wingdings" w:hAnsi="Wingdings" w:hint="default"/>
      </w:rPr>
    </w:lvl>
  </w:abstractNum>
  <w:abstractNum w:abstractNumId="17">
    <w:nsid w:val="3AFA4902"/>
    <w:multiLevelType w:val="hybridMultilevel"/>
    <w:tmpl w:val="0C16E2F8"/>
    <w:lvl w:ilvl="0" w:tplc="04090005">
      <w:start w:val="1"/>
      <w:numFmt w:val="bullet"/>
      <w:lvlRestart w:val="0"/>
      <w:pStyle w:val="Indent3"/>
      <w:lvlText w:val="·"/>
      <w:lvlJc w:val="left"/>
      <w:pPr>
        <w:tabs>
          <w:tab w:val="num" w:pos="785"/>
        </w:tabs>
        <w:ind w:left="785" w:hanging="425"/>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9823A2"/>
    <w:multiLevelType w:val="hybridMultilevel"/>
    <w:tmpl w:val="44920FF2"/>
    <w:lvl w:ilvl="0" w:tplc="214CE1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17150E8"/>
    <w:multiLevelType w:val="hybridMultilevel"/>
    <w:tmpl w:val="439E79A4"/>
    <w:lvl w:ilvl="0" w:tplc="9C7CB62C">
      <w:start w:val="1"/>
      <w:numFmt w:val="lowerLetter"/>
      <w:lvlText w:val="%1)"/>
      <w:lvlJc w:val="left"/>
      <w:pPr>
        <w:tabs>
          <w:tab w:val="num" w:pos="643"/>
        </w:tabs>
        <w:ind w:left="643" w:hanging="360"/>
      </w:pPr>
      <w:rPr>
        <w:rFonts w:hint="default"/>
      </w:rPr>
    </w:lvl>
    <w:lvl w:ilvl="1" w:tplc="08090003" w:tentative="1">
      <w:start w:val="1"/>
      <w:numFmt w:val="lowerLetter"/>
      <w:lvlText w:val="%2."/>
      <w:lvlJc w:val="left"/>
      <w:pPr>
        <w:tabs>
          <w:tab w:val="num" w:pos="1363"/>
        </w:tabs>
        <w:ind w:left="1363" w:hanging="360"/>
      </w:pPr>
    </w:lvl>
    <w:lvl w:ilvl="2" w:tplc="08090005" w:tentative="1">
      <w:start w:val="1"/>
      <w:numFmt w:val="lowerRoman"/>
      <w:lvlText w:val="%3."/>
      <w:lvlJc w:val="right"/>
      <w:pPr>
        <w:tabs>
          <w:tab w:val="num" w:pos="2083"/>
        </w:tabs>
        <w:ind w:left="2083" w:hanging="180"/>
      </w:pPr>
    </w:lvl>
    <w:lvl w:ilvl="3" w:tplc="08090001" w:tentative="1">
      <w:start w:val="1"/>
      <w:numFmt w:val="decimal"/>
      <w:lvlText w:val="%4."/>
      <w:lvlJc w:val="left"/>
      <w:pPr>
        <w:tabs>
          <w:tab w:val="num" w:pos="2803"/>
        </w:tabs>
        <w:ind w:left="2803" w:hanging="360"/>
      </w:pPr>
    </w:lvl>
    <w:lvl w:ilvl="4" w:tplc="08090003" w:tentative="1">
      <w:start w:val="1"/>
      <w:numFmt w:val="lowerLetter"/>
      <w:lvlText w:val="%5."/>
      <w:lvlJc w:val="left"/>
      <w:pPr>
        <w:tabs>
          <w:tab w:val="num" w:pos="3523"/>
        </w:tabs>
        <w:ind w:left="3523" w:hanging="360"/>
      </w:pPr>
    </w:lvl>
    <w:lvl w:ilvl="5" w:tplc="08090005" w:tentative="1">
      <w:start w:val="1"/>
      <w:numFmt w:val="lowerRoman"/>
      <w:lvlText w:val="%6."/>
      <w:lvlJc w:val="right"/>
      <w:pPr>
        <w:tabs>
          <w:tab w:val="num" w:pos="4243"/>
        </w:tabs>
        <w:ind w:left="4243" w:hanging="180"/>
      </w:pPr>
    </w:lvl>
    <w:lvl w:ilvl="6" w:tplc="08090001" w:tentative="1">
      <w:start w:val="1"/>
      <w:numFmt w:val="decimal"/>
      <w:lvlText w:val="%7."/>
      <w:lvlJc w:val="left"/>
      <w:pPr>
        <w:tabs>
          <w:tab w:val="num" w:pos="4963"/>
        </w:tabs>
        <w:ind w:left="4963" w:hanging="360"/>
      </w:pPr>
    </w:lvl>
    <w:lvl w:ilvl="7" w:tplc="08090003" w:tentative="1">
      <w:start w:val="1"/>
      <w:numFmt w:val="lowerLetter"/>
      <w:lvlText w:val="%8."/>
      <w:lvlJc w:val="left"/>
      <w:pPr>
        <w:tabs>
          <w:tab w:val="num" w:pos="5683"/>
        </w:tabs>
        <w:ind w:left="5683" w:hanging="360"/>
      </w:pPr>
    </w:lvl>
    <w:lvl w:ilvl="8" w:tplc="08090005" w:tentative="1">
      <w:start w:val="1"/>
      <w:numFmt w:val="lowerRoman"/>
      <w:lvlText w:val="%9."/>
      <w:lvlJc w:val="right"/>
      <w:pPr>
        <w:tabs>
          <w:tab w:val="num" w:pos="6403"/>
        </w:tabs>
        <w:ind w:left="6403" w:hanging="180"/>
      </w:pPr>
    </w:lvl>
  </w:abstractNum>
  <w:abstractNum w:abstractNumId="20">
    <w:nsid w:val="42557588"/>
    <w:multiLevelType w:val="hybridMultilevel"/>
    <w:tmpl w:val="82F44A1A"/>
    <w:lvl w:ilvl="0" w:tplc="48C64076">
      <w:start w:val="1"/>
      <w:numFmt w:val="decimal"/>
      <w:lvlText w:val="%1. "/>
      <w:legacy w:legacy="1" w:legacySpace="0" w:legacyIndent="283"/>
      <w:lvlJc w:val="left"/>
      <w:pPr>
        <w:ind w:left="5529" w:hanging="283"/>
      </w:pPr>
      <w:rPr>
        <w:b w:val="0"/>
        <w:bCs w:val="0"/>
        <w:i w:val="0"/>
        <w:iCs w:val="0"/>
        <w:sz w:val="20"/>
        <w:szCs w:val="2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1">
    <w:nsid w:val="42E162F2"/>
    <w:multiLevelType w:val="hybridMultilevel"/>
    <w:tmpl w:val="6804BCD6"/>
    <w:lvl w:ilvl="0" w:tplc="1AC45A36">
      <w:start w:val="1"/>
      <w:numFmt w:val="bullet"/>
      <w:lvlText w:val=""/>
      <w:lvlJc w:val="left"/>
      <w:pPr>
        <w:ind w:left="796" w:hanging="360"/>
      </w:pPr>
      <w:rPr>
        <w:rFonts w:ascii="Wingdings" w:hAnsi="Wingdings" w:hint="default"/>
      </w:rPr>
    </w:lvl>
    <w:lvl w:ilvl="1" w:tplc="04090019" w:tentative="1">
      <w:start w:val="1"/>
      <w:numFmt w:val="bullet"/>
      <w:lvlText w:val="o"/>
      <w:lvlJc w:val="left"/>
      <w:pPr>
        <w:ind w:left="1516" w:hanging="360"/>
      </w:pPr>
      <w:rPr>
        <w:rFonts w:ascii="Courier New" w:hAnsi="Courier New" w:cs="Courier New" w:hint="default"/>
      </w:rPr>
    </w:lvl>
    <w:lvl w:ilvl="2" w:tplc="0409001B" w:tentative="1">
      <w:start w:val="1"/>
      <w:numFmt w:val="bullet"/>
      <w:lvlText w:val=""/>
      <w:lvlJc w:val="left"/>
      <w:pPr>
        <w:ind w:left="2236" w:hanging="360"/>
      </w:pPr>
      <w:rPr>
        <w:rFonts w:ascii="Wingdings" w:hAnsi="Wingdings" w:hint="default"/>
      </w:rPr>
    </w:lvl>
    <w:lvl w:ilvl="3" w:tplc="0409000F" w:tentative="1">
      <w:start w:val="1"/>
      <w:numFmt w:val="bullet"/>
      <w:lvlText w:val=""/>
      <w:lvlJc w:val="left"/>
      <w:pPr>
        <w:ind w:left="2956" w:hanging="360"/>
      </w:pPr>
      <w:rPr>
        <w:rFonts w:ascii="Symbol" w:hAnsi="Symbol" w:hint="default"/>
      </w:rPr>
    </w:lvl>
    <w:lvl w:ilvl="4" w:tplc="04090019" w:tentative="1">
      <w:start w:val="1"/>
      <w:numFmt w:val="bullet"/>
      <w:lvlText w:val="o"/>
      <w:lvlJc w:val="left"/>
      <w:pPr>
        <w:ind w:left="3676" w:hanging="360"/>
      </w:pPr>
      <w:rPr>
        <w:rFonts w:ascii="Courier New" w:hAnsi="Courier New" w:cs="Courier New" w:hint="default"/>
      </w:rPr>
    </w:lvl>
    <w:lvl w:ilvl="5" w:tplc="0409001B" w:tentative="1">
      <w:start w:val="1"/>
      <w:numFmt w:val="bullet"/>
      <w:lvlText w:val=""/>
      <w:lvlJc w:val="left"/>
      <w:pPr>
        <w:ind w:left="4396" w:hanging="360"/>
      </w:pPr>
      <w:rPr>
        <w:rFonts w:ascii="Wingdings" w:hAnsi="Wingdings" w:hint="default"/>
      </w:rPr>
    </w:lvl>
    <w:lvl w:ilvl="6" w:tplc="0409000F" w:tentative="1">
      <w:start w:val="1"/>
      <w:numFmt w:val="bullet"/>
      <w:lvlText w:val=""/>
      <w:lvlJc w:val="left"/>
      <w:pPr>
        <w:ind w:left="5116" w:hanging="360"/>
      </w:pPr>
      <w:rPr>
        <w:rFonts w:ascii="Symbol" w:hAnsi="Symbol" w:hint="default"/>
      </w:rPr>
    </w:lvl>
    <w:lvl w:ilvl="7" w:tplc="04090019" w:tentative="1">
      <w:start w:val="1"/>
      <w:numFmt w:val="bullet"/>
      <w:lvlText w:val="o"/>
      <w:lvlJc w:val="left"/>
      <w:pPr>
        <w:ind w:left="5836" w:hanging="360"/>
      </w:pPr>
      <w:rPr>
        <w:rFonts w:ascii="Courier New" w:hAnsi="Courier New" w:cs="Courier New" w:hint="default"/>
      </w:rPr>
    </w:lvl>
    <w:lvl w:ilvl="8" w:tplc="0409001B" w:tentative="1">
      <w:start w:val="1"/>
      <w:numFmt w:val="bullet"/>
      <w:lvlText w:val=""/>
      <w:lvlJc w:val="left"/>
      <w:pPr>
        <w:ind w:left="6556" w:hanging="360"/>
      </w:pPr>
      <w:rPr>
        <w:rFonts w:ascii="Wingdings" w:hAnsi="Wingdings" w:hint="default"/>
      </w:rPr>
    </w:lvl>
  </w:abstractNum>
  <w:abstractNum w:abstractNumId="22">
    <w:nsid w:val="430550EE"/>
    <w:multiLevelType w:val="hybridMultilevel"/>
    <w:tmpl w:val="0F385C22"/>
    <w:lvl w:ilvl="0" w:tplc="04090005">
      <w:start w:val="1"/>
      <w:numFmt w:val="bullet"/>
      <w:pStyle w:val="ListBullet"/>
      <w:lvlText w:val=""/>
      <w:lvlJc w:val="left"/>
      <w:pPr>
        <w:tabs>
          <w:tab w:val="num" w:pos="340"/>
        </w:tabs>
        <w:ind w:left="340" w:hanging="34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6114D20"/>
    <w:multiLevelType w:val="hybridMultilevel"/>
    <w:tmpl w:val="CE66DF48"/>
    <w:lvl w:ilvl="0" w:tplc="93C8FC94">
      <w:start w:val="1"/>
      <w:numFmt w:val="lowerLetter"/>
      <w:lvlText w:val="%1)"/>
      <w:lvlJc w:val="left"/>
      <w:pPr>
        <w:tabs>
          <w:tab w:val="num" w:pos="643"/>
        </w:tabs>
        <w:ind w:left="643" w:hanging="360"/>
      </w:pPr>
      <w:rPr>
        <w:rFonts w:hint="default"/>
      </w:rPr>
    </w:lvl>
    <w:lvl w:ilvl="1" w:tplc="04090003" w:tentative="1">
      <w:start w:val="1"/>
      <w:numFmt w:val="lowerLetter"/>
      <w:lvlText w:val="%2."/>
      <w:lvlJc w:val="left"/>
      <w:pPr>
        <w:tabs>
          <w:tab w:val="num" w:pos="1363"/>
        </w:tabs>
        <w:ind w:left="1363" w:hanging="360"/>
      </w:pPr>
    </w:lvl>
    <w:lvl w:ilvl="2" w:tplc="04090005" w:tentative="1">
      <w:start w:val="1"/>
      <w:numFmt w:val="lowerRoman"/>
      <w:lvlText w:val="%3."/>
      <w:lvlJc w:val="right"/>
      <w:pPr>
        <w:tabs>
          <w:tab w:val="num" w:pos="2083"/>
        </w:tabs>
        <w:ind w:left="2083" w:hanging="180"/>
      </w:pPr>
    </w:lvl>
    <w:lvl w:ilvl="3" w:tplc="04090001" w:tentative="1">
      <w:start w:val="1"/>
      <w:numFmt w:val="decimal"/>
      <w:lvlText w:val="%4."/>
      <w:lvlJc w:val="left"/>
      <w:pPr>
        <w:tabs>
          <w:tab w:val="num" w:pos="2803"/>
        </w:tabs>
        <w:ind w:left="2803" w:hanging="360"/>
      </w:pPr>
    </w:lvl>
    <w:lvl w:ilvl="4" w:tplc="04090003" w:tentative="1">
      <w:start w:val="1"/>
      <w:numFmt w:val="lowerLetter"/>
      <w:lvlText w:val="%5."/>
      <w:lvlJc w:val="left"/>
      <w:pPr>
        <w:tabs>
          <w:tab w:val="num" w:pos="3523"/>
        </w:tabs>
        <w:ind w:left="3523" w:hanging="360"/>
      </w:pPr>
    </w:lvl>
    <w:lvl w:ilvl="5" w:tplc="04090005" w:tentative="1">
      <w:start w:val="1"/>
      <w:numFmt w:val="lowerRoman"/>
      <w:lvlText w:val="%6."/>
      <w:lvlJc w:val="right"/>
      <w:pPr>
        <w:tabs>
          <w:tab w:val="num" w:pos="4243"/>
        </w:tabs>
        <w:ind w:left="4243" w:hanging="180"/>
      </w:pPr>
    </w:lvl>
    <w:lvl w:ilvl="6" w:tplc="04090001" w:tentative="1">
      <w:start w:val="1"/>
      <w:numFmt w:val="decimal"/>
      <w:lvlText w:val="%7."/>
      <w:lvlJc w:val="left"/>
      <w:pPr>
        <w:tabs>
          <w:tab w:val="num" w:pos="4963"/>
        </w:tabs>
        <w:ind w:left="4963" w:hanging="360"/>
      </w:pPr>
    </w:lvl>
    <w:lvl w:ilvl="7" w:tplc="04090003" w:tentative="1">
      <w:start w:val="1"/>
      <w:numFmt w:val="lowerLetter"/>
      <w:lvlText w:val="%8."/>
      <w:lvlJc w:val="left"/>
      <w:pPr>
        <w:tabs>
          <w:tab w:val="num" w:pos="5683"/>
        </w:tabs>
        <w:ind w:left="5683" w:hanging="360"/>
      </w:pPr>
    </w:lvl>
    <w:lvl w:ilvl="8" w:tplc="04090005" w:tentative="1">
      <w:start w:val="1"/>
      <w:numFmt w:val="lowerRoman"/>
      <w:lvlText w:val="%9."/>
      <w:lvlJc w:val="right"/>
      <w:pPr>
        <w:tabs>
          <w:tab w:val="num" w:pos="6403"/>
        </w:tabs>
        <w:ind w:left="6403" w:hanging="180"/>
      </w:pPr>
    </w:lvl>
  </w:abstractNum>
  <w:abstractNum w:abstractNumId="24">
    <w:nsid w:val="4CDC6289"/>
    <w:multiLevelType w:val="hybridMultilevel"/>
    <w:tmpl w:val="82F44A1A"/>
    <w:lvl w:ilvl="0" w:tplc="48C64076">
      <w:start w:val="1"/>
      <w:numFmt w:val="decimal"/>
      <w:lvlText w:val="%1. "/>
      <w:legacy w:legacy="1" w:legacySpace="0" w:legacyIndent="283"/>
      <w:lvlJc w:val="left"/>
      <w:pPr>
        <w:ind w:left="5529" w:hanging="283"/>
      </w:pPr>
      <w:rPr>
        <w:b w:val="0"/>
        <w:bCs w:val="0"/>
        <w:i w:val="0"/>
        <w:iCs w:val="0"/>
        <w:sz w:val="20"/>
        <w:szCs w:val="2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5">
    <w:nsid w:val="51B67DC3"/>
    <w:multiLevelType w:val="multilevel"/>
    <w:tmpl w:val="58424396"/>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3E40AB7"/>
    <w:multiLevelType w:val="hybridMultilevel"/>
    <w:tmpl w:val="686085E2"/>
    <w:lvl w:ilvl="0" w:tplc="48C64076">
      <w:start w:val="1"/>
      <w:numFmt w:val="decimal"/>
      <w:lvlText w:val="%1. "/>
      <w:legacy w:legacy="1" w:legacySpace="0" w:legacyIndent="283"/>
      <w:lvlJc w:val="left"/>
      <w:pPr>
        <w:ind w:left="5529" w:hanging="283"/>
      </w:pPr>
      <w:rPr>
        <w:b w:val="0"/>
        <w:bCs w:val="0"/>
        <w:i w:val="0"/>
        <w:iCs w:val="0"/>
        <w:sz w:val="20"/>
        <w:szCs w:val="2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7">
    <w:nsid w:val="56B8195E"/>
    <w:multiLevelType w:val="hybridMultilevel"/>
    <w:tmpl w:val="E42C10C0"/>
    <w:lvl w:ilvl="0" w:tplc="FFFFFFFF">
      <w:start w:val="1"/>
      <w:numFmt w:val="decimal"/>
      <w:lvlText w:val="%1."/>
      <w:lvlJc w:val="left"/>
      <w:pPr>
        <w:tabs>
          <w:tab w:val="num" w:pos="1854"/>
        </w:tabs>
        <w:ind w:left="1701" w:hanging="283"/>
      </w:pPr>
      <w:rPr>
        <w:rFonts w:hint="default"/>
      </w:rPr>
    </w:lvl>
    <w:lvl w:ilvl="1" w:tplc="FFFFFFFF">
      <w:start w:val="1"/>
      <w:numFmt w:val="lowerLetter"/>
      <w:lvlText w:val="%2)"/>
      <w:lvlJc w:val="left"/>
      <w:pPr>
        <w:tabs>
          <w:tab w:val="num" w:pos="2007"/>
        </w:tabs>
        <w:ind w:left="2007" w:hanging="360"/>
      </w:pPr>
      <w:rPr>
        <w:rFonts w:hint="default"/>
      </w:r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8">
    <w:nsid w:val="58F32F9F"/>
    <w:multiLevelType w:val="multilevel"/>
    <w:tmpl w:val="4B2665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60740B27"/>
    <w:multiLevelType w:val="hybridMultilevel"/>
    <w:tmpl w:val="373660E0"/>
    <w:lvl w:ilvl="0" w:tplc="3DB83836">
      <w:start w:val="1"/>
      <w:numFmt w:val="lowerLetter"/>
      <w:lvlText w:val="%1)"/>
      <w:lvlJc w:val="left"/>
      <w:pPr>
        <w:tabs>
          <w:tab w:val="num" w:pos="2880"/>
        </w:tabs>
        <w:ind w:left="2880" w:hanging="360"/>
      </w:pPr>
      <w:rPr>
        <w:rFonts w:hint="default"/>
        <w:caps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0">
    <w:nsid w:val="615B214A"/>
    <w:multiLevelType w:val="hybridMultilevel"/>
    <w:tmpl w:val="9B8C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5E14EE"/>
    <w:multiLevelType w:val="hybridMultilevel"/>
    <w:tmpl w:val="CF1CFF4C"/>
    <w:lvl w:ilvl="0" w:tplc="CF3E34F0">
      <w:start w:val="1"/>
      <w:numFmt w:val="lowerLetter"/>
      <w:lvlText w:val="(%1)"/>
      <w:lvlJc w:val="left"/>
      <w:pPr>
        <w:tabs>
          <w:tab w:val="num" w:pos="930"/>
        </w:tabs>
        <w:ind w:left="930" w:hanging="570"/>
      </w:pPr>
      <w:rPr>
        <w:rFonts w:hint="default"/>
      </w:rPr>
    </w:lvl>
    <w:lvl w:ilvl="1" w:tplc="DD50CCE0"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2">
    <w:nsid w:val="628D7C93"/>
    <w:multiLevelType w:val="hybridMultilevel"/>
    <w:tmpl w:val="CF86DCEC"/>
    <w:lvl w:ilvl="0" w:tplc="0409000B">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3">
    <w:nsid w:val="65EE1C23"/>
    <w:multiLevelType w:val="hybridMultilevel"/>
    <w:tmpl w:val="4EB85D6E"/>
    <w:lvl w:ilvl="0" w:tplc="48C64076">
      <w:start w:val="1"/>
      <w:numFmt w:val="decimal"/>
      <w:lvlText w:val="%1. "/>
      <w:legacy w:legacy="1" w:legacySpace="0" w:legacyIndent="283"/>
      <w:lvlJc w:val="left"/>
      <w:pPr>
        <w:ind w:left="5529" w:hanging="283"/>
      </w:pPr>
      <w:rPr>
        <w:b w:val="0"/>
        <w:bCs w:val="0"/>
        <w:i w:val="0"/>
        <w:iCs w:val="0"/>
        <w:sz w:val="20"/>
        <w:szCs w:val="2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4">
    <w:nsid w:val="670917EA"/>
    <w:multiLevelType w:val="hybridMultilevel"/>
    <w:tmpl w:val="024EE544"/>
    <w:lvl w:ilvl="0" w:tplc="04090005">
      <w:start w:val="1"/>
      <w:numFmt w:val="lowerLetter"/>
      <w:lvlText w:val="%1)"/>
      <w:lvlJc w:val="left"/>
      <w:pPr>
        <w:tabs>
          <w:tab w:val="num" w:pos="643"/>
        </w:tabs>
        <w:ind w:left="643" w:hanging="360"/>
      </w:pPr>
      <w:rPr>
        <w:rFonts w:hint="default"/>
      </w:rPr>
    </w:lvl>
    <w:lvl w:ilvl="1" w:tplc="04090003" w:tentative="1">
      <w:start w:val="1"/>
      <w:numFmt w:val="lowerLetter"/>
      <w:lvlText w:val="%2."/>
      <w:lvlJc w:val="left"/>
      <w:pPr>
        <w:tabs>
          <w:tab w:val="num" w:pos="1363"/>
        </w:tabs>
        <w:ind w:left="1363" w:hanging="360"/>
      </w:pPr>
    </w:lvl>
    <w:lvl w:ilvl="2" w:tplc="04090005" w:tentative="1">
      <w:start w:val="1"/>
      <w:numFmt w:val="lowerRoman"/>
      <w:lvlText w:val="%3."/>
      <w:lvlJc w:val="right"/>
      <w:pPr>
        <w:tabs>
          <w:tab w:val="num" w:pos="2083"/>
        </w:tabs>
        <w:ind w:left="2083" w:hanging="180"/>
      </w:pPr>
    </w:lvl>
    <w:lvl w:ilvl="3" w:tplc="04090001" w:tentative="1">
      <w:start w:val="1"/>
      <w:numFmt w:val="decimal"/>
      <w:lvlText w:val="%4."/>
      <w:lvlJc w:val="left"/>
      <w:pPr>
        <w:tabs>
          <w:tab w:val="num" w:pos="2803"/>
        </w:tabs>
        <w:ind w:left="2803" w:hanging="360"/>
      </w:pPr>
    </w:lvl>
    <w:lvl w:ilvl="4" w:tplc="04090003" w:tentative="1">
      <w:start w:val="1"/>
      <w:numFmt w:val="lowerLetter"/>
      <w:lvlText w:val="%5."/>
      <w:lvlJc w:val="left"/>
      <w:pPr>
        <w:tabs>
          <w:tab w:val="num" w:pos="3523"/>
        </w:tabs>
        <w:ind w:left="3523" w:hanging="360"/>
      </w:pPr>
    </w:lvl>
    <w:lvl w:ilvl="5" w:tplc="04090005" w:tentative="1">
      <w:start w:val="1"/>
      <w:numFmt w:val="lowerRoman"/>
      <w:lvlText w:val="%6."/>
      <w:lvlJc w:val="right"/>
      <w:pPr>
        <w:tabs>
          <w:tab w:val="num" w:pos="4243"/>
        </w:tabs>
        <w:ind w:left="4243" w:hanging="180"/>
      </w:pPr>
    </w:lvl>
    <w:lvl w:ilvl="6" w:tplc="04090001" w:tentative="1">
      <w:start w:val="1"/>
      <w:numFmt w:val="decimal"/>
      <w:lvlText w:val="%7."/>
      <w:lvlJc w:val="left"/>
      <w:pPr>
        <w:tabs>
          <w:tab w:val="num" w:pos="4963"/>
        </w:tabs>
        <w:ind w:left="4963" w:hanging="360"/>
      </w:pPr>
    </w:lvl>
    <w:lvl w:ilvl="7" w:tplc="04090003" w:tentative="1">
      <w:start w:val="1"/>
      <w:numFmt w:val="lowerLetter"/>
      <w:lvlText w:val="%8."/>
      <w:lvlJc w:val="left"/>
      <w:pPr>
        <w:tabs>
          <w:tab w:val="num" w:pos="5683"/>
        </w:tabs>
        <w:ind w:left="5683" w:hanging="360"/>
      </w:pPr>
    </w:lvl>
    <w:lvl w:ilvl="8" w:tplc="04090005" w:tentative="1">
      <w:start w:val="1"/>
      <w:numFmt w:val="lowerRoman"/>
      <w:lvlText w:val="%9."/>
      <w:lvlJc w:val="right"/>
      <w:pPr>
        <w:tabs>
          <w:tab w:val="num" w:pos="6403"/>
        </w:tabs>
        <w:ind w:left="6403" w:hanging="180"/>
      </w:pPr>
    </w:lvl>
  </w:abstractNum>
  <w:abstractNum w:abstractNumId="35">
    <w:nsid w:val="67A86B3B"/>
    <w:multiLevelType w:val="hybridMultilevel"/>
    <w:tmpl w:val="43265B34"/>
    <w:lvl w:ilvl="0" w:tplc="FB163622">
      <w:start w:val="1"/>
      <w:numFmt w:val="lowerLetter"/>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6">
    <w:nsid w:val="68D746BC"/>
    <w:multiLevelType w:val="hybridMultilevel"/>
    <w:tmpl w:val="C7823B54"/>
    <w:lvl w:ilvl="0" w:tplc="08CCD4C0">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DE83298"/>
    <w:multiLevelType w:val="hybridMultilevel"/>
    <w:tmpl w:val="733682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6ED40E19"/>
    <w:multiLevelType w:val="hybridMultilevel"/>
    <w:tmpl w:val="F4004BD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72E87EBB"/>
    <w:multiLevelType w:val="hybridMultilevel"/>
    <w:tmpl w:val="1DA47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A2246E6"/>
    <w:multiLevelType w:val="hybridMultilevel"/>
    <w:tmpl w:val="58424396"/>
    <w:lvl w:ilvl="0" w:tplc="32F89A34">
      <w:start w:val="1"/>
      <w:numFmt w:val="upperRoman"/>
      <w:pStyle w:val="Heading1h1"/>
      <w:lvlText w:val="%1."/>
      <w:lvlJc w:val="left"/>
      <w:pPr>
        <w:tabs>
          <w:tab w:val="num" w:pos="1080"/>
        </w:tabs>
        <w:ind w:left="1080" w:hanging="720"/>
      </w:pPr>
      <w:rPr>
        <w:rFonts w:hint="default"/>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1">
    <w:nsid w:val="7CD4273D"/>
    <w:multiLevelType w:val="hybridMultilevel"/>
    <w:tmpl w:val="65FE1F8E"/>
    <w:lvl w:ilvl="0" w:tplc="04090005">
      <w:start w:val="1"/>
      <w:numFmt w:val="lowerLetter"/>
      <w:lvlText w:val="(%1)"/>
      <w:lvlJc w:val="left"/>
      <w:pPr>
        <w:tabs>
          <w:tab w:val="num" w:pos="930"/>
        </w:tabs>
        <w:ind w:left="930" w:hanging="57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nsid w:val="7CFA4A66"/>
    <w:multiLevelType w:val="singleLevel"/>
    <w:tmpl w:val="C0BC86F6"/>
    <w:lvl w:ilvl="0">
      <w:start w:val="1"/>
      <w:numFmt w:val="decimal"/>
      <w:lvlText w:val="%1."/>
      <w:legacy w:legacy="1" w:legacySpace="0" w:legacyIndent="283"/>
      <w:lvlJc w:val="left"/>
      <w:pPr>
        <w:ind w:left="1276" w:hanging="283"/>
      </w:pPr>
      <w:rPr>
        <w:b w:val="0"/>
        <w:bCs w:val="0"/>
        <w:i w:val="0"/>
        <w:iCs w:val="0"/>
        <w:sz w:val="20"/>
        <w:szCs w:val="20"/>
      </w:rPr>
    </w:lvl>
  </w:abstractNum>
  <w:abstractNum w:abstractNumId="43">
    <w:nsid w:val="7E387DDA"/>
    <w:multiLevelType w:val="hybridMultilevel"/>
    <w:tmpl w:val="34109434"/>
    <w:lvl w:ilvl="0" w:tplc="FFFFFFFF">
      <w:start w:val="1"/>
      <w:numFmt w:val="decimal"/>
      <w:lvlText w:val="%1."/>
      <w:lvlJc w:val="left"/>
      <w:pPr>
        <w:tabs>
          <w:tab w:val="num" w:pos="720"/>
        </w:tabs>
        <w:ind w:left="720" w:hanging="360"/>
      </w:pPr>
      <w:rPr>
        <w:rFonts w:hint="default"/>
      </w:rPr>
    </w:lvl>
    <w:lvl w:ilvl="1" w:tplc="FFFFFFFF">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2"/>
  </w:num>
  <w:num w:numId="2">
    <w:abstractNumId w:val="42"/>
  </w:num>
  <w:num w:numId="3">
    <w:abstractNumId w:val="43"/>
  </w:num>
  <w:num w:numId="4">
    <w:abstractNumId w:val="41"/>
  </w:num>
  <w:num w:numId="5">
    <w:abstractNumId w:val="31"/>
  </w:num>
  <w:num w:numId="6">
    <w:abstractNumId w:val="11"/>
  </w:num>
  <w:num w:numId="7">
    <w:abstractNumId w:val="9"/>
  </w:num>
  <w:num w:numId="8">
    <w:abstractNumId w:val="0"/>
  </w:num>
  <w:num w:numId="9">
    <w:abstractNumId w:val="27"/>
  </w:num>
  <w:num w:numId="10">
    <w:abstractNumId w:val="8"/>
  </w:num>
  <w:num w:numId="11">
    <w:abstractNumId w:val="36"/>
  </w:num>
  <w:num w:numId="12">
    <w:abstractNumId w:val="22"/>
  </w:num>
  <w:num w:numId="13">
    <w:abstractNumId w:val="17"/>
  </w:num>
  <w:num w:numId="14">
    <w:abstractNumId w:val="35"/>
  </w:num>
  <w:num w:numId="15">
    <w:abstractNumId w:val="7"/>
  </w:num>
  <w:num w:numId="16">
    <w:abstractNumId w:val="34"/>
  </w:num>
  <w:num w:numId="17">
    <w:abstractNumId w:val="3"/>
  </w:num>
  <w:num w:numId="18">
    <w:abstractNumId w:val="5"/>
  </w:num>
  <w:num w:numId="19">
    <w:abstractNumId w:val="23"/>
  </w:num>
  <w:num w:numId="20">
    <w:abstractNumId w:val="19"/>
  </w:num>
  <w:num w:numId="21">
    <w:abstractNumId w:val="2"/>
  </w:num>
  <w:num w:numId="22">
    <w:abstractNumId w:val="14"/>
  </w:num>
  <w:num w:numId="23">
    <w:abstractNumId w:val="21"/>
  </w:num>
  <w:num w:numId="24">
    <w:abstractNumId w:val="16"/>
  </w:num>
  <w:num w:numId="25">
    <w:abstractNumId w:val="40"/>
  </w:num>
  <w:num w:numId="26">
    <w:abstractNumId w:val="29"/>
  </w:num>
  <w:num w:numId="27">
    <w:abstractNumId w:val="15"/>
  </w:num>
  <w:num w:numId="28">
    <w:abstractNumId w:val="13"/>
  </w:num>
  <w:num w:numId="29">
    <w:abstractNumId w:val="38"/>
  </w:num>
  <w:num w:numId="30">
    <w:abstractNumId w:val="6"/>
  </w:num>
  <w:num w:numId="31">
    <w:abstractNumId w:val="20"/>
  </w:num>
  <w:num w:numId="32">
    <w:abstractNumId w:val="28"/>
  </w:num>
  <w:num w:numId="33">
    <w:abstractNumId w:val="1"/>
  </w:num>
  <w:num w:numId="34">
    <w:abstractNumId w:val="10"/>
  </w:num>
  <w:num w:numId="35">
    <w:abstractNumId w:val="26"/>
  </w:num>
  <w:num w:numId="36">
    <w:abstractNumId w:val="33"/>
  </w:num>
  <w:num w:numId="37">
    <w:abstractNumId w:val="39"/>
  </w:num>
  <w:num w:numId="38">
    <w:abstractNumId w:val="4"/>
  </w:num>
  <w:num w:numId="39">
    <w:abstractNumId w:val="25"/>
  </w:num>
  <w:num w:numId="40">
    <w:abstractNumId w:val="18"/>
  </w:num>
  <w:num w:numId="41">
    <w:abstractNumId w:val="37"/>
  </w:num>
  <w:num w:numId="42">
    <w:abstractNumId w:val="24"/>
  </w:num>
  <w:num w:numId="43">
    <w:abstractNumId w:val="30"/>
  </w:num>
  <w:num w:numId="44">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S2DocOpenMode" w:val="AS2DocumentEdit"/>
  </w:docVars>
  <w:rsids>
    <w:rsidRoot w:val="00CD4D1E"/>
    <w:rsid w:val="00000980"/>
    <w:rsid w:val="00000A36"/>
    <w:rsid w:val="00000C6D"/>
    <w:rsid w:val="00001488"/>
    <w:rsid w:val="000023E1"/>
    <w:rsid w:val="00002661"/>
    <w:rsid w:val="0000299B"/>
    <w:rsid w:val="00003056"/>
    <w:rsid w:val="00003627"/>
    <w:rsid w:val="00003945"/>
    <w:rsid w:val="00003EB7"/>
    <w:rsid w:val="000045C2"/>
    <w:rsid w:val="00004885"/>
    <w:rsid w:val="00005351"/>
    <w:rsid w:val="0000580E"/>
    <w:rsid w:val="0000623D"/>
    <w:rsid w:val="000064F7"/>
    <w:rsid w:val="000073C4"/>
    <w:rsid w:val="00007810"/>
    <w:rsid w:val="000107E7"/>
    <w:rsid w:val="00012040"/>
    <w:rsid w:val="00012DE8"/>
    <w:rsid w:val="0001367B"/>
    <w:rsid w:val="00013971"/>
    <w:rsid w:val="00013FBE"/>
    <w:rsid w:val="0001433A"/>
    <w:rsid w:val="00014E8D"/>
    <w:rsid w:val="000153D4"/>
    <w:rsid w:val="00015A6D"/>
    <w:rsid w:val="000160FA"/>
    <w:rsid w:val="0001719A"/>
    <w:rsid w:val="0001747F"/>
    <w:rsid w:val="00017DB0"/>
    <w:rsid w:val="00017F32"/>
    <w:rsid w:val="000212A9"/>
    <w:rsid w:val="000212CD"/>
    <w:rsid w:val="00021899"/>
    <w:rsid w:val="00021D77"/>
    <w:rsid w:val="00022237"/>
    <w:rsid w:val="00022251"/>
    <w:rsid w:val="0002253E"/>
    <w:rsid w:val="00023169"/>
    <w:rsid w:val="000236BA"/>
    <w:rsid w:val="00024993"/>
    <w:rsid w:val="00024F6A"/>
    <w:rsid w:val="000252F9"/>
    <w:rsid w:val="00025331"/>
    <w:rsid w:val="0002584A"/>
    <w:rsid w:val="00025E93"/>
    <w:rsid w:val="000260E4"/>
    <w:rsid w:val="00026845"/>
    <w:rsid w:val="00026DCF"/>
    <w:rsid w:val="00026E62"/>
    <w:rsid w:val="00027B0B"/>
    <w:rsid w:val="0003014C"/>
    <w:rsid w:val="000301D4"/>
    <w:rsid w:val="00030DCB"/>
    <w:rsid w:val="00030ECB"/>
    <w:rsid w:val="00031228"/>
    <w:rsid w:val="00031BF2"/>
    <w:rsid w:val="00031C22"/>
    <w:rsid w:val="00032267"/>
    <w:rsid w:val="00032C12"/>
    <w:rsid w:val="00033658"/>
    <w:rsid w:val="00033BF2"/>
    <w:rsid w:val="00034409"/>
    <w:rsid w:val="000345C3"/>
    <w:rsid w:val="00035E3E"/>
    <w:rsid w:val="000366E2"/>
    <w:rsid w:val="00036D0A"/>
    <w:rsid w:val="000376A5"/>
    <w:rsid w:val="00037B44"/>
    <w:rsid w:val="0004016E"/>
    <w:rsid w:val="00040541"/>
    <w:rsid w:val="00040696"/>
    <w:rsid w:val="00040887"/>
    <w:rsid w:val="00040B32"/>
    <w:rsid w:val="00040FF0"/>
    <w:rsid w:val="00041C14"/>
    <w:rsid w:val="00042674"/>
    <w:rsid w:val="0004294F"/>
    <w:rsid w:val="000436C6"/>
    <w:rsid w:val="000436DE"/>
    <w:rsid w:val="0004374F"/>
    <w:rsid w:val="00043E7C"/>
    <w:rsid w:val="0004428A"/>
    <w:rsid w:val="000446DC"/>
    <w:rsid w:val="00044A63"/>
    <w:rsid w:val="00044E66"/>
    <w:rsid w:val="0004557A"/>
    <w:rsid w:val="0004573F"/>
    <w:rsid w:val="00045812"/>
    <w:rsid w:val="00045C30"/>
    <w:rsid w:val="00045FAF"/>
    <w:rsid w:val="0004633D"/>
    <w:rsid w:val="00046BEA"/>
    <w:rsid w:val="0004714E"/>
    <w:rsid w:val="000479E6"/>
    <w:rsid w:val="000518F7"/>
    <w:rsid w:val="00051D3A"/>
    <w:rsid w:val="00052485"/>
    <w:rsid w:val="00052579"/>
    <w:rsid w:val="00053BB7"/>
    <w:rsid w:val="00055905"/>
    <w:rsid w:val="00055DB7"/>
    <w:rsid w:val="00057E91"/>
    <w:rsid w:val="00060592"/>
    <w:rsid w:val="00061A87"/>
    <w:rsid w:val="00061BD0"/>
    <w:rsid w:val="0006241C"/>
    <w:rsid w:val="00063C25"/>
    <w:rsid w:val="00063D5A"/>
    <w:rsid w:val="00064880"/>
    <w:rsid w:val="000648BF"/>
    <w:rsid w:val="00064B5E"/>
    <w:rsid w:val="00064BC5"/>
    <w:rsid w:val="0006524C"/>
    <w:rsid w:val="000657E8"/>
    <w:rsid w:val="00066101"/>
    <w:rsid w:val="00067673"/>
    <w:rsid w:val="00067E19"/>
    <w:rsid w:val="000712A2"/>
    <w:rsid w:val="00071575"/>
    <w:rsid w:val="000715D9"/>
    <w:rsid w:val="000715E0"/>
    <w:rsid w:val="00071CEC"/>
    <w:rsid w:val="00072163"/>
    <w:rsid w:val="00073BF9"/>
    <w:rsid w:val="00074A6E"/>
    <w:rsid w:val="00075098"/>
    <w:rsid w:val="0007590F"/>
    <w:rsid w:val="00076474"/>
    <w:rsid w:val="0007674C"/>
    <w:rsid w:val="00076FB2"/>
    <w:rsid w:val="00080034"/>
    <w:rsid w:val="00080221"/>
    <w:rsid w:val="000813B2"/>
    <w:rsid w:val="000818EA"/>
    <w:rsid w:val="00082CD9"/>
    <w:rsid w:val="00082CF3"/>
    <w:rsid w:val="0008339B"/>
    <w:rsid w:val="00083588"/>
    <w:rsid w:val="00083D79"/>
    <w:rsid w:val="00083D7B"/>
    <w:rsid w:val="00083FA6"/>
    <w:rsid w:val="00084687"/>
    <w:rsid w:val="0008503D"/>
    <w:rsid w:val="0008545C"/>
    <w:rsid w:val="000859DF"/>
    <w:rsid w:val="00086497"/>
    <w:rsid w:val="00086A39"/>
    <w:rsid w:val="00086C58"/>
    <w:rsid w:val="00086E64"/>
    <w:rsid w:val="00087ACE"/>
    <w:rsid w:val="000908F8"/>
    <w:rsid w:val="000911B8"/>
    <w:rsid w:val="000917CE"/>
    <w:rsid w:val="00092F3B"/>
    <w:rsid w:val="00094563"/>
    <w:rsid w:val="000945E5"/>
    <w:rsid w:val="0009461A"/>
    <w:rsid w:val="000949A2"/>
    <w:rsid w:val="00094DA4"/>
    <w:rsid w:val="00095881"/>
    <w:rsid w:val="0009645F"/>
    <w:rsid w:val="00096702"/>
    <w:rsid w:val="0009714E"/>
    <w:rsid w:val="000A06F7"/>
    <w:rsid w:val="000A149B"/>
    <w:rsid w:val="000A2ACD"/>
    <w:rsid w:val="000A309A"/>
    <w:rsid w:val="000A3F40"/>
    <w:rsid w:val="000A3FD1"/>
    <w:rsid w:val="000A402D"/>
    <w:rsid w:val="000A4C15"/>
    <w:rsid w:val="000A631A"/>
    <w:rsid w:val="000A6E83"/>
    <w:rsid w:val="000A73E2"/>
    <w:rsid w:val="000A7D16"/>
    <w:rsid w:val="000B001E"/>
    <w:rsid w:val="000B17D7"/>
    <w:rsid w:val="000B20B4"/>
    <w:rsid w:val="000B2CA0"/>
    <w:rsid w:val="000B3113"/>
    <w:rsid w:val="000B3609"/>
    <w:rsid w:val="000B40F0"/>
    <w:rsid w:val="000B43EB"/>
    <w:rsid w:val="000B4B61"/>
    <w:rsid w:val="000B5A5E"/>
    <w:rsid w:val="000B5E5F"/>
    <w:rsid w:val="000B7A17"/>
    <w:rsid w:val="000B7D24"/>
    <w:rsid w:val="000C0E19"/>
    <w:rsid w:val="000C10CF"/>
    <w:rsid w:val="000C1B87"/>
    <w:rsid w:val="000C2230"/>
    <w:rsid w:val="000C2C42"/>
    <w:rsid w:val="000C32C6"/>
    <w:rsid w:val="000C4322"/>
    <w:rsid w:val="000C4747"/>
    <w:rsid w:val="000C4F24"/>
    <w:rsid w:val="000C5E5C"/>
    <w:rsid w:val="000C6670"/>
    <w:rsid w:val="000C6FC6"/>
    <w:rsid w:val="000C7366"/>
    <w:rsid w:val="000C73F3"/>
    <w:rsid w:val="000C7501"/>
    <w:rsid w:val="000C7B04"/>
    <w:rsid w:val="000D14D3"/>
    <w:rsid w:val="000D1671"/>
    <w:rsid w:val="000D20CC"/>
    <w:rsid w:val="000D2592"/>
    <w:rsid w:val="000D25E1"/>
    <w:rsid w:val="000D3080"/>
    <w:rsid w:val="000D34F0"/>
    <w:rsid w:val="000D3AAB"/>
    <w:rsid w:val="000D4B93"/>
    <w:rsid w:val="000D4F05"/>
    <w:rsid w:val="000D5861"/>
    <w:rsid w:val="000D6109"/>
    <w:rsid w:val="000D665C"/>
    <w:rsid w:val="000D6F1D"/>
    <w:rsid w:val="000D7013"/>
    <w:rsid w:val="000E0314"/>
    <w:rsid w:val="000E0B3F"/>
    <w:rsid w:val="000E0C44"/>
    <w:rsid w:val="000E0D50"/>
    <w:rsid w:val="000E0DB7"/>
    <w:rsid w:val="000E0FB3"/>
    <w:rsid w:val="000E132A"/>
    <w:rsid w:val="000E15E6"/>
    <w:rsid w:val="000E1EB9"/>
    <w:rsid w:val="000E2153"/>
    <w:rsid w:val="000E3511"/>
    <w:rsid w:val="000E3CD5"/>
    <w:rsid w:val="000E4FC7"/>
    <w:rsid w:val="000E572B"/>
    <w:rsid w:val="000E661E"/>
    <w:rsid w:val="000E782E"/>
    <w:rsid w:val="000E797B"/>
    <w:rsid w:val="000E7AB1"/>
    <w:rsid w:val="000E7ABC"/>
    <w:rsid w:val="000F09DE"/>
    <w:rsid w:val="000F2772"/>
    <w:rsid w:val="000F3BA3"/>
    <w:rsid w:val="000F4210"/>
    <w:rsid w:val="000F44C5"/>
    <w:rsid w:val="000F46E3"/>
    <w:rsid w:val="000F4C1C"/>
    <w:rsid w:val="000F5458"/>
    <w:rsid w:val="000F561B"/>
    <w:rsid w:val="000F5CEB"/>
    <w:rsid w:val="000F5EB3"/>
    <w:rsid w:val="000F64E0"/>
    <w:rsid w:val="000F66F2"/>
    <w:rsid w:val="000F6867"/>
    <w:rsid w:val="000F6FA2"/>
    <w:rsid w:val="000F712B"/>
    <w:rsid w:val="000F7314"/>
    <w:rsid w:val="000F7779"/>
    <w:rsid w:val="000F7BA4"/>
    <w:rsid w:val="000F7EDB"/>
    <w:rsid w:val="00100410"/>
    <w:rsid w:val="00100B84"/>
    <w:rsid w:val="00100BD2"/>
    <w:rsid w:val="00101299"/>
    <w:rsid w:val="00102359"/>
    <w:rsid w:val="00102599"/>
    <w:rsid w:val="00102987"/>
    <w:rsid w:val="00102A8D"/>
    <w:rsid w:val="00102C63"/>
    <w:rsid w:val="00103662"/>
    <w:rsid w:val="00103D1E"/>
    <w:rsid w:val="00104514"/>
    <w:rsid w:val="00104CC7"/>
    <w:rsid w:val="00104CF2"/>
    <w:rsid w:val="00104FF5"/>
    <w:rsid w:val="00105083"/>
    <w:rsid w:val="00105A24"/>
    <w:rsid w:val="00105C5C"/>
    <w:rsid w:val="00106203"/>
    <w:rsid w:val="001062FF"/>
    <w:rsid w:val="00107A06"/>
    <w:rsid w:val="00110478"/>
    <w:rsid w:val="00110F6E"/>
    <w:rsid w:val="001115CC"/>
    <w:rsid w:val="001124E5"/>
    <w:rsid w:val="0011301D"/>
    <w:rsid w:val="00113E0C"/>
    <w:rsid w:val="00113FB0"/>
    <w:rsid w:val="00114477"/>
    <w:rsid w:val="0011638C"/>
    <w:rsid w:val="00116557"/>
    <w:rsid w:val="00116B16"/>
    <w:rsid w:val="0012016D"/>
    <w:rsid w:val="00120557"/>
    <w:rsid w:val="00120825"/>
    <w:rsid w:val="0012105D"/>
    <w:rsid w:val="0012152A"/>
    <w:rsid w:val="0012229C"/>
    <w:rsid w:val="00122BA3"/>
    <w:rsid w:val="00122C9D"/>
    <w:rsid w:val="0012339D"/>
    <w:rsid w:val="00123CA5"/>
    <w:rsid w:val="00123D15"/>
    <w:rsid w:val="001247DB"/>
    <w:rsid w:val="00124D5C"/>
    <w:rsid w:val="0012505F"/>
    <w:rsid w:val="00125218"/>
    <w:rsid w:val="001253C5"/>
    <w:rsid w:val="00125CDB"/>
    <w:rsid w:val="001269AF"/>
    <w:rsid w:val="0012758D"/>
    <w:rsid w:val="001276E4"/>
    <w:rsid w:val="00127C9E"/>
    <w:rsid w:val="00127FF4"/>
    <w:rsid w:val="00130293"/>
    <w:rsid w:val="00130464"/>
    <w:rsid w:val="00130F12"/>
    <w:rsid w:val="00130FC8"/>
    <w:rsid w:val="0013166D"/>
    <w:rsid w:val="0013172D"/>
    <w:rsid w:val="00131D6B"/>
    <w:rsid w:val="00131F6D"/>
    <w:rsid w:val="001331EA"/>
    <w:rsid w:val="00133719"/>
    <w:rsid w:val="0013467C"/>
    <w:rsid w:val="001351DB"/>
    <w:rsid w:val="001361E0"/>
    <w:rsid w:val="00136479"/>
    <w:rsid w:val="00137323"/>
    <w:rsid w:val="00137B77"/>
    <w:rsid w:val="0014114F"/>
    <w:rsid w:val="00142964"/>
    <w:rsid w:val="00143352"/>
    <w:rsid w:val="001433F2"/>
    <w:rsid w:val="00144612"/>
    <w:rsid w:val="001447C2"/>
    <w:rsid w:val="001457D7"/>
    <w:rsid w:val="00146310"/>
    <w:rsid w:val="001466B0"/>
    <w:rsid w:val="00146D6F"/>
    <w:rsid w:val="00147590"/>
    <w:rsid w:val="001478EF"/>
    <w:rsid w:val="00150B6A"/>
    <w:rsid w:val="00150DC4"/>
    <w:rsid w:val="00151ABE"/>
    <w:rsid w:val="00154447"/>
    <w:rsid w:val="001544B7"/>
    <w:rsid w:val="001550D8"/>
    <w:rsid w:val="00156211"/>
    <w:rsid w:val="00156FB8"/>
    <w:rsid w:val="0015742A"/>
    <w:rsid w:val="00160E83"/>
    <w:rsid w:val="00161202"/>
    <w:rsid w:val="0016124A"/>
    <w:rsid w:val="00161C82"/>
    <w:rsid w:val="00162320"/>
    <w:rsid w:val="00162AFB"/>
    <w:rsid w:val="00163709"/>
    <w:rsid w:val="00164699"/>
    <w:rsid w:val="00164755"/>
    <w:rsid w:val="001647CF"/>
    <w:rsid w:val="001649C1"/>
    <w:rsid w:val="00164B64"/>
    <w:rsid w:val="001654A5"/>
    <w:rsid w:val="00165972"/>
    <w:rsid w:val="00165FCA"/>
    <w:rsid w:val="0016715F"/>
    <w:rsid w:val="00170043"/>
    <w:rsid w:val="00170125"/>
    <w:rsid w:val="00170206"/>
    <w:rsid w:val="00170503"/>
    <w:rsid w:val="00170794"/>
    <w:rsid w:val="001718DB"/>
    <w:rsid w:val="00171EAD"/>
    <w:rsid w:val="001726CC"/>
    <w:rsid w:val="00172943"/>
    <w:rsid w:val="0017305F"/>
    <w:rsid w:val="00173587"/>
    <w:rsid w:val="001749E3"/>
    <w:rsid w:val="00174A01"/>
    <w:rsid w:val="00174ECD"/>
    <w:rsid w:val="00176524"/>
    <w:rsid w:val="001766D6"/>
    <w:rsid w:val="00177D31"/>
    <w:rsid w:val="00177F17"/>
    <w:rsid w:val="001800EE"/>
    <w:rsid w:val="00182081"/>
    <w:rsid w:val="00182311"/>
    <w:rsid w:val="00182641"/>
    <w:rsid w:val="00182CFA"/>
    <w:rsid w:val="00182F5B"/>
    <w:rsid w:val="00183E35"/>
    <w:rsid w:val="001842A3"/>
    <w:rsid w:val="001846D5"/>
    <w:rsid w:val="00184D22"/>
    <w:rsid w:val="0018500F"/>
    <w:rsid w:val="00185563"/>
    <w:rsid w:val="0018557A"/>
    <w:rsid w:val="0018571D"/>
    <w:rsid w:val="00185AD9"/>
    <w:rsid w:val="00186A62"/>
    <w:rsid w:val="00187197"/>
    <w:rsid w:val="001902A0"/>
    <w:rsid w:val="001902D3"/>
    <w:rsid w:val="00190E24"/>
    <w:rsid w:val="00191091"/>
    <w:rsid w:val="001913ED"/>
    <w:rsid w:val="0019232F"/>
    <w:rsid w:val="00192F80"/>
    <w:rsid w:val="001931B8"/>
    <w:rsid w:val="00193801"/>
    <w:rsid w:val="001951B9"/>
    <w:rsid w:val="0019616C"/>
    <w:rsid w:val="0019652E"/>
    <w:rsid w:val="00196835"/>
    <w:rsid w:val="001969D4"/>
    <w:rsid w:val="00196DC7"/>
    <w:rsid w:val="00196F00"/>
    <w:rsid w:val="001979BA"/>
    <w:rsid w:val="001A015C"/>
    <w:rsid w:val="001A0617"/>
    <w:rsid w:val="001A0E36"/>
    <w:rsid w:val="001A1388"/>
    <w:rsid w:val="001A1EAD"/>
    <w:rsid w:val="001A23E5"/>
    <w:rsid w:val="001A3BD9"/>
    <w:rsid w:val="001A437D"/>
    <w:rsid w:val="001A4DDA"/>
    <w:rsid w:val="001A5ACF"/>
    <w:rsid w:val="001A5B37"/>
    <w:rsid w:val="001A6A0D"/>
    <w:rsid w:val="001A7B2A"/>
    <w:rsid w:val="001A7C0E"/>
    <w:rsid w:val="001B059B"/>
    <w:rsid w:val="001B05E8"/>
    <w:rsid w:val="001B0AD4"/>
    <w:rsid w:val="001B0E06"/>
    <w:rsid w:val="001B131C"/>
    <w:rsid w:val="001B2A9E"/>
    <w:rsid w:val="001B32E7"/>
    <w:rsid w:val="001B3404"/>
    <w:rsid w:val="001B4786"/>
    <w:rsid w:val="001B4D84"/>
    <w:rsid w:val="001B6064"/>
    <w:rsid w:val="001B657A"/>
    <w:rsid w:val="001B6A4B"/>
    <w:rsid w:val="001B7745"/>
    <w:rsid w:val="001B77E8"/>
    <w:rsid w:val="001B7923"/>
    <w:rsid w:val="001C13E8"/>
    <w:rsid w:val="001C1656"/>
    <w:rsid w:val="001C17C6"/>
    <w:rsid w:val="001C185D"/>
    <w:rsid w:val="001C29E9"/>
    <w:rsid w:val="001C380F"/>
    <w:rsid w:val="001C3A17"/>
    <w:rsid w:val="001C4D31"/>
    <w:rsid w:val="001C4FBC"/>
    <w:rsid w:val="001C5A1E"/>
    <w:rsid w:val="001C6535"/>
    <w:rsid w:val="001C69F1"/>
    <w:rsid w:val="001C79B2"/>
    <w:rsid w:val="001D0099"/>
    <w:rsid w:val="001D03C9"/>
    <w:rsid w:val="001D1B8B"/>
    <w:rsid w:val="001D1D38"/>
    <w:rsid w:val="001D201F"/>
    <w:rsid w:val="001D240F"/>
    <w:rsid w:val="001D278F"/>
    <w:rsid w:val="001D2858"/>
    <w:rsid w:val="001D2D29"/>
    <w:rsid w:val="001D3E98"/>
    <w:rsid w:val="001D4343"/>
    <w:rsid w:val="001D4773"/>
    <w:rsid w:val="001D50CA"/>
    <w:rsid w:val="001D5846"/>
    <w:rsid w:val="001D5B46"/>
    <w:rsid w:val="001D61AC"/>
    <w:rsid w:val="001D65BC"/>
    <w:rsid w:val="001D7B16"/>
    <w:rsid w:val="001E0321"/>
    <w:rsid w:val="001E039B"/>
    <w:rsid w:val="001E0A58"/>
    <w:rsid w:val="001E1177"/>
    <w:rsid w:val="001E28C5"/>
    <w:rsid w:val="001E32B6"/>
    <w:rsid w:val="001E48C0"/>
    <w:rsid w:val="001E4F6C"/>
    <w:rsid w:val="001E587D"/>
    <w:rsid w:val="001E64B4"/>
    <w:rsid w:val="001E6C4B"/>
    <w:rsid w:val="001E7158"/>
    <w:rsid w:val="001F0F4F"/>
    <w:rsid w:val="001F1517"/>
    <w:rsid w:val="001F1551"/>
    <w:rsid w:val="001F1B81"/>
    <w:rsid w:val="001F21AA"/>
    <w:rsid w:val="001F26AB"/>
    <w:rsid w:val="001F2C7C"/>
    <w:rsid w:val="001F36CC"/>
    <w:rsid w:val="001F3FA6"/>
    <w:rsid w:val="001F4B78"/>
    <w:rsid w:val="001F4D1B"/>
    <w:rsid w:val="001F5B22"/>
    <w:rsid w:val="001F5B64"/>
    <w:rsid w:val="001F656D"/>
    <w:rsid w:val="001F65A8"/>
    <w:rsid w:val="001F67F4"/>
    <w:rsid w:val="001F6D4B"/>
    <w:rsid w:val="001F6F88"/>
    <w:rsid w:val="001F6F9C"/>
    <w:rsid w:val="001F7867"/>
    <w:rsid w:val="00200890"/>
    <w:rsid w:val="00201254"/>
    <w:rsid w:val="00201608"/>
    <w:rsid w:val="00201A84"/>
    <w:rsid w:val="00201C53"/>
    <w:rsid w:val="00202160"/>
    <w:rsid w:val="002029A0"/>
    <w:rsid w:val="00202AC4"/>
    <w:rsid w:val="002034BC"/>
    <w:rsid w:val="00203C47"/>
    <w:rsid w:val="00203E7D"/>
    <w:rsid w:val="00203FD6"/>
    <w:rsid w:val="002045BA"/>
    <w:rsid w:val="00204BB8"/>
    <w:rsid w:val="0020516D"/>
    <w:rsid w:val="002063B9"/>
    <w:rsid w:val="00206878"/>
    <w:rsid w:val="00207343"/>
    <w:rsid w:val="002104EF"/>
    <w:rsid w:val="00210B10"/>
    <w:rsid w:val="00211216"/>
    <w:rsid w:val="00211295"/>
    <w:rsid w:val="00211552"/>
    <w:rsid w:val="00213D77"/>
    <w:rsid w:val="0021469E"/>
    <w:rsid w:val="002153EA"/>
    <w:rsid w:val="00216A92"/>
    <w:rsid w:val="00216FD7"/>
    <w:rsid w:val="002170C3"/>
    <w:rsid w:val="002200E3"/>
    <w:rsid w:val="0022072F"/>
    <w:rsid w:val="0022133A"/>
    <w:rsid w:val="0022250D"/>
    <w:rsid w:val="00223655"/>
    <w:rsid w:val="00223BF8"/>
    <w:rsid w:val="00223E62"/>
    <w:rsid w:val="00225728"/>
    <w:rsid w:val="00225C6E"/>
    <w:rsid w:val="00225F7F"/>
    <w:rsid w:val="002261BB"/>
    <w:rsid w:val="002268AC"/>
    <w:rsid w:val="00227013"/>
    <w:rsid w:val="0023079C"/>
    <w:rsid w:val="00230B98"/>
    <w:rsid w:val="00230CE0"/>
    <w:rsid w:val="0023117D"/>
    <w:rsid w:val="0023234F"/>
    <w:rsid w:val="00232938"/>
    <w:rsid w:val="00232FCD"/>
    <w:rsid w:val="00233374"/>
    <w:rsid w:val="00234A96"/>
    <w:rsid w:val="00235869"/>
    <w:rsid w:val="002367D1"/>
    <w:rsid w:val="00236E6A"/>
    <w:rsid w:val="00237339"/>
    <w:rsid w:val="00240456"/>
    <w:rsid w:val="002415C9"/>
    <w:rsid w:val="002428B9"/>
    <w:rsid w:val="00242AF5"/>
    <w:rsid w:val="00242DBE"/>
    <w:rsid w:val="002433A8"/>
    <w:rsid w:val="00243EB9"/>
    <w:rsid w:val="0024491E"/>
    <w:rsid w:val="00244B04"/>
    <w:rsid w:val="00244B1C"/>
    <w:rsid w:val="00245D3D"/>
    <w:rsid w:val="00246448"/>
    <w:rsid w:val="0024665D"/>
    <w:rsid w:val="00246798"/>
    <w:rsid w:val="00246A57"/>
    <w:rsid w:val="00250286"/>
    <w:rsid w:val="00250A9D"/>
    <w:rsid w:val="002513CA"/>
    <w:rsid w:val="0025243C"/>
    <w:rsid w:val="00252DFF"/>
    <w:rsid w:val="00253122"/>
    <w:rsid w:val="00253556"/>
    <w:rsid w:val="00253C5E"/>
    <w:rsid w:val="00254464"/>
    <w:rsid w:val="002546E8"/>
    <w:rsid w:val="00254836"/>
    <w:rsid w:val="0025632E"/>
    <w:rsid w:val="00257D95"/>
    <w:rsid w:val="00257DB7"/>
    <w:rsid w:val="00257ED2"/>
    <w:rsid w:val="00260197"/>
    <w:rsid w:val="002602BD"/>
    <w:rsid w:val="002609C2"/>
    <w:rsid w:val="00260F90"/>
    <w:rsid w:val="00261DFD"/>
    <w:rsid w:val="00261FD2"/>
    <w:rsid w:val="00262392"/>
    <w:rsid w:val="00262470"/>
    <w:rsid w:val="002625D7"/>
    <w:rsid w:val="00262922"/>
    <w:rsid w:val="00262FD8"/>
    <w:rsid w:val="002646B8"/>
    <w:rsid w:val="002651E4"/>
    <w:rsid w:val="00265BC7"/>
    <w:rsid w:val="002660EE"/>
    <w:rsid w:val="00266AF9"/>
    <w:rsid w:val="00266B3A"/>
    <w:rsid w:val="002675C3"/>
    <w:rsid w:val="002703A3"/>
    <w:rsid w:val="002714EE"/>
    <w:rsid w:val="0027158A"/>
    <w:rsid w:val="00271A91"/>
    <w:rsid w:val="00271ABF"/>
    <w:rsid w:val="00272023"/>
    <w:rsid w:val="00272837"/>
    <w:rsid w:val="00272A32"/>
    <w:rsid w:val="00272D37"/>
    <w:rsid w:val="00273571"/>
    <w:rsid w:val="00273FA7"/>
    <w:rsid w:val="00274754"/>
    <w:rsid w:val="00275504"/>
    <w:rsid w:val="002756AF"/>
    <w:rsid w:val="00275DDB"/>
    <w:rsid w:val="00276532"/>
    <w:rsid w:val="00276EE8"/>
    <w:rsid w:val="002772A0"/>
    <w:rsid w:val="00277F24"/>
    <w:rsid w:val="00277FE0"/>
    <w:rsid w:val="00280231"/>
    <w:rsid w:val="002805A2"/>
    <w:rsid w:val="00280DA3"/>
    <w:rsid w:val="0028270D"/>
    <w:rsid w:val="0028283A"/>
    <w:rsid w:val="002835A6"/>
    <w:rsid w:val="00283F55"/>
    <w:rsid w:val="0028477A"/>
    <w:rsid w:val="002848AA"/>
    <w:rsid w:val="00284E3D"/>
    <w:rsid w:val="00284F41"/>
    <w:rsid w:val="0028685D"/>
    <w:rsid w:val="002868BE"/>
    <w:rsid w:val="0028691E"/>
    <w:rsid w:val="0028707A"/>
    <w:rsid w:val="002877AE"/>
    <w:rsid w:val="002906CB"/>
    <w:rsid w:val="00290CF9"/>
    <w:rsid w:val="002917A8"/>
    <w:rsid w:val="00291EBA"/>
    <w:rsid w:val="002921D7"/>
    <w:rsid w:val="00292710"/>
    <w:rsid w:val="00293275"/>
    <w:rsid w:val="0029343D"/>
    <w:rsid w:val="00293484"/>
    <w:rsid w:val="00293B54"/>
    <w:rsid w:val="00294732"/>
    <w:rsid w:val="00294B29"/>
    <w:rsid w:val="00294C6F"/>
    <w:rsid w:val="002952A3"/>
    <w:rsid w:val="0029618A"/>
    <w:rsid w:val="0029644D"/>
    <w:rsid w:val="00296525"/>
    <w:rsid w:val="00296B5F"/>
    <w:rsid w:val="00297058"/>
    <w:rsid w:val="002970E8"/>
    <w:rsid w:val="00297100"/>
    <w:rsid w:val="0029762D"/>
    <w:rsid w:val="00297CAA"/>
    <w:rsid w:val="00297D25"/>
    <w:rsid w:val="002A107D"/>
    <w:rsid w:val="002A2101"/>
    <w:rsid w:val="002A2950"/>
    <w:rsid w:val="002A3359"/>
    <w:rsid w:val="002A3F87"/>
    <w:rsid w:val="002A4149"/>
    <w:rsid w:val="002A5C69"/>
    <w:rsid w:val="002A6174"/>
    <w:rsid w:val="002A67B0"/>
    <w:rsid w:val="002A6E92"/>
    <w:rsid w:val="002A7F7A"/>
    <w:rsid w:val="002A7FA6"/>
    <w:rsid w:val="002B052A"/>
    <w:rsid w:val="002B1270"/>
    <w:rsid w:val="002B12A5"/>
    <w:rsid w:val="002B197D"/>
    <w:rsid w:val="002B219E"/>
    <w:rsid w:val="002B228C"/>
    <w:rsid w:val="002B27A6"/>
    <w:rsid w:val="002B28AE"/>
    <w:rsid w:val="002B35FF"/>
    <w:rsid w:val="002B386D"/>
    <w:rsid w:val="002B3BCE"/>
    <w:rsid w:val="002B3C10"/>
    <w:rsid w:val="002B3D5F"/>
    <w:rsid w:val="002B43FD"/>
    <w:rsid w:val="002B528E"/>
    <w:rsid w:val="002B53E5"/>
    <w:rsid w:val="002B5557"/>
    <w:rsid w:val="002B5A2E"/>
    <w:rsid w:val="002C063B"/>
    <w:rsid w:val="002C0834"/>
    <w:rsid w:val="002C121A"/>
    <w:rsid w:val="002C21A9"/>
    <w:rsid w:val="002C37F9"/>
    <w:rsid w:val="002C3BE8"/>
    <w:rsid w:val="002C5090"/>
    <w:rsid w:val="002C61A6"/>
    <w:rsid w:val="002C620A"/>
    <w:rsid w:val="002C65E3"/>
    <w:rsid w:val="002C681C"/>
    <w:rsid w:val="002C6F0F"/>
    <w:rsid w:val="002C717C"/>
    <w:rsid w:val="002C7726"/>
    <w:rsid w:val="002C7D76"/>
    <w:rsid w:val="002D02BE"/>
    <w:rsid w:val="002D275B"/>
    <w:rsid w:val="002D2C6A"/>
    <w:rsid w:val="002D3569"/>
    <w:rsid w:val="002D3C26"/>
    <w:rsid w:val="002D4634"/>
    <w:rsid w:val="002D535F"/>
    <w:rsid w:val="002D6135"/>
    <w:rsid w:val="002D642D"/>
    <w:rsid w:val="002D6965"/>
    <w:rsid w:val="002D69BB"/>
    <w:rsid w:val="002D69F3"/>
    <w:rsid w:val="002D7196"/>
    <w:rsid w:val="002D7A7F"/>
    <w:rsid w:val="002D7B2E"/>
    <w:rsid w:val="002E14CC"/>
    <w:rsid w:val="002E1AEF"/>
    <w:rsid w:val="002E1BB7"/>
    <w:rsid w:val="002E1C66"/>
    <w:rsid w:val="002E24A1"/>
    <w:rsid w:val="002E2E49"/>
    <w:rsid w:val="002E3909"/>
    <w:rsid w:val="002E3D10"/>
    <w:rsid w:val="002E3E58"/>
    <w:rsid w:val="002E4E34"/>
    <w:rsid w:val="002E5996"/>
    <w:rsid w:val="002E6424"/>
    <w:rsid w:val="002F13F6"/>
    <w:rsid w:val="002F1467"/>
    <w:rsid w:val="002F15CB"/>
    <w:rsid w:val="002F2BBF"/>
    <w:rsid w:val="002F2DD7"/>
    <w:rsid w:val="002F426B"/>
    <w:rsid w:val="002F45C5"/>
    <w:rsid w:val="002F475D"/>
    <w:rsid w:val="002F5167"/>
    <w:rsid w:val="002F529E"/>
    <w:rsid w:val="002F60B0"/>
    <w:rsid w:val="002F6229"/>
    <w:rsid w:val="002F6A2A"/>
    <w:rsid w:val="002F7A09"/>
    <w:rsid w:val="00300027"/>
    <w:rsid w:val="003006E7"/>
    <w:rsid w:val="00300FDF"/>
    <w:rsid w:val="00301164"/>
    <w:rsid w:val="00302489"/>
    <w:rsid w:val="00302963"/>
    <w:rsid w:val="00303631"/>
    <w:rsid w:val="00304709"/>
    <w:rsid w:val="00304F92"/>
    <w:rsid w:val="003050E5"/>
    <w:rsid w:val="003052E3"/>
    <w:rsid w:val="00305B6D"/>
    <w:rsid w:val="00305BBF"/>
    <w:rsid w:val="00307582"/>
    <w:rsid w:val="00307D98"/>
    <w:rsid w:val="0031014D"/>
    <w:rsid w:val="003108F2"/>
    <w:rsid w:val="003115EE"/>
    <w:rsid w:val="00311DBB"/>
    <w:rsid w:val="00312EB3"/>
    <w:rsid w:val="00313460"/>
    <w:rsid w:val="00313676"/>
    <w:rsid w:val="00313D60"/>
    <w:rsid w:val="00313F7C"/>
    <w:rsid w:val="003146CE"/>
    <w:rsid w:val="003147BF"/>
    <w:rsid w:val="00315545"/>
    <w:rsid w:val="00316119"/>
    <w:rsid w:val="00316F20"/>
    <w:rsid w:val="00317144"/>
    <w:rsid w:val="00317F4A"/>
    <w:rsid w:val="0032089F"/>
    <w:rsid w:val="00321666"/>
    <w:rsid w:val="00322303"/>
    <w:rsid w:val="00323623"/>
    <w:rsid w:val="003243F7"/>
    <w:rsid w:val="0032444B"/>
    <w:rsid w:val="0032503C"/>
    <w:rsid w:val="0032511C"/>
    <w:rsid w:val="00325392"/>
    <w:rsid w:val="00325464"/>
    <w:rsid w:val="00325768"/>
    <w:rsid w:val="00325C38"/>
    <w:rsid w:val="003266E2"/>
    <w:rsid w:val="00327938"/>
    <w:rsid w:val="00327AAF"/>
    <w:rsid w:val="00327BBA"/>
    <w:rsid w:val="00327BC3"/>
    <w:rsid w:val="00330765"/>
    <w:rsid w:val="00331268"/>
    <w:rsid w:val="003323FB"/>
    <w:rsid w:val="003324E9"/>
    <w:rsid w:val="00332C13"/>
    <w:rsid w:val="00332D85"/>
    <w:rsid w:val="003333C2"/>
    <w:rsid w:val="00333863"/>
    <w:rsid w:val="0033403F"/>
    <w:rsid w:val="003355F0"/>
    <w:rsid w:val="00335978"/>
    <w:rsid w:val="00335C12"/>
    <w:rsid w:val="0033715E"/>
    <w:rsid w:val="00337767"/>
    <w:rsid w:val="003377F1"/>
    <w:rsid w:val="00340606"/>
    <w:rsid w:val="00340973"/>
    <w:rsid w:val="00340EB3"/>
    <w:rsid w:val="00341594"/>
    <w:rsid w:val="003425C0"/>
    <w:rsid w:val="00343105"/>
    <w:rsid w:val="0034313C"/>
    <w:rsid w:val="003444FB"/>
    <w:rsid w:val="0034457E"/>
    <w:rsid w:val="003449B0"/>
    <w:rsid w:val="003450D8"/>
    <w:rsid w:val="0034593A"/>
    <w:rsid w:val="00345C47"/>
    <w:rsid w:val="003462FA"/>
    <w:rsid w:val="003478BE"/>
    <w:rsid w:val="003504D4"/>
    <w:rsid w:val="00350570"/>
    <w:rsid w:val="003525AE"/>
    <w:rsid w:val="00352EFD"/>
    <w:rsid w:val="00352F8B"/>
    <w:rsid w:val="00354564"/>
    <w:rsid w:val="00354CDD"/>
    <w:rsid w:val="0035540F"/>
    <w:rsid w:val="003557E7"/>
    <w:rsid w:val="003558D7"/>
    <w:rsid w:val="00355A10"/>
    <w:rsid w:val="00356029"/>
    <w:rsid w:val="003560AD"/>
    <w:rsid w:val="00356330"/>
    <w:rsid w:val="003564F6"/>
    <w:rsid w:val="00356C3B"/>
    <w:rsid w:val="00356D6E"/>
    <w:rsid w:val="00356E3E"/>
    <w:rsid w:val="00357894"/>
    <w:rsid w:val="00360460"/>
    <w:rsid w:val="00361A8D"/>
    <w:rsid w:val="00362068"/>
    <w:rsid w:val="0036244E"/>
    <w:rsid w:val="00364398"/>
    <w:rsid w:val="00364785"/>
    <w:rsid w:val="003648CC"/>
    <w:rsid w:val="00364A01"/>
    <w:rsid w:val="003664B5"/>
    <w:rsid w:val="0036764D"/>
    <w:rsid w:val="003679DB"/>
    <w:rsid w:val="00367F6B"/>
    <w:rsid w:val="00367FFC"/>
    <w:rsid w:val="0037057E"/>
    <w:rsid w:val="00371C01"/>
    <w:rsid w:val="00371D43"/>
    <w:rsid w:val="0037266C"/>
    <w:rsid w:val="00372941"/>
    <w:rsid w:val="00374D29"/>
    <w:rsid w:val="00374DF7"/>
    <w:rsid w:val="00375154"/>
    <w:rsid w:val="00375862"/>
    <w:rsid w:val="00376668"/>
    <w:rsid w:val="00376D6E"/>
    <w:rsid w:val="00377895"/>
    <w:rsid w:val="00377E94"/>
    <w:rsid w:val="00380F08"/>
    <w:rsid w:val="0038106D"/>
    <w:rsid w:val="003811CD"/>
    <w:rsid w:val="003813E0"/>
    <w:rsid w:val="003817CF"/>
    <w:rsid w:val="00381819"/>
    <w:rsid w:val="00381CDA"/>
    <w:rsid w:val="00382749"/>
    <w:rsid w:val="00382B48"/>
    <w:rsid w:val="00382CE1"/>
    <w:rsid w:val="00383583"/>
    <w:rsid w:val="003838AB"/>
    <w:rsid w:val="00383AA7"/>
    <w:rsid w:val="00383EBA"/>
    <w:rsid w:val="00384364"/>
    <w:rsid w:val="00384CFF"/>
    <w:rsid w:val="00384D7D"/>
    <w:rsid w:val="00384F6E"/>
    <w:rsid w:val="003850AC"/>
    <w:rsid w:val="00385194"/>
    <w:rsid w:val="0038570C"/>
    <w:rsid w:val="00385C62"/>
    <w:rsid w:val="00386780"/>
    <w:rsid w:val="00386D51"/>
    <w:rsid w:val="00386EA7"/>
    <w:rsid w:val="00387C93"/>
    <w:rsid w:val="00390936"/>
    <w:rsid w:val="00390ACF"/>
    <w:rsid w:val="00390C05"/>
    <w:rsid w:val="00391E46"/>
    <w:rsid w:val="00391FF9"/>
    <w:rsid w:val="003921BA"/>
    <w:rsid w:val="00392413"/>
    <w:rsid w:val="003932AA"/>
    <w:rsid w:val="0039451F"/>
    <w:rsid w:val="00394597"/>
    <w:rsid w:val="0039504F"/>
    <w:rsid w:val="00395055"/>
    <w:rsid w:val="00395483"/>
    <w:rsid w:val="0039552A"/>
    <w:rsid w:val="0039573F"/>
    <w:rsid w:val="00395C11"/>
    <w:rsid w:val="00396754"/>
    <w:rsid w:val="00396B5A"/>
    <w:rsid w:val="003A04D4"/>
    <w:rsid w:val="003A1D0C"/>
    <w:rsid w:val="003A266F"/>
    <w:rsid w:val="003A2B43"/>
    <w:rsid w:val="003A2D0B"/>
    <w:rsid w:val="003A3932"/>
    <w:rsid w:val="003A464F"/>
    <w:rsid w:val="003A4B3D"/>
    <w:rsid w:val="003A4BBC"/>
    <w:rsid w:val="003A610C"/>
    <w:rsid w:val="003A65AB"/>
    <w:rsid w:val="003A7147"/>
    <w:rsid w:val="003A71B8"/>
    <w:rsid w:val="003A7D34"/>
    <w:rsid w:val="003B03E0"/>
    <w:rsid w:val="003B0FEC"/>
    <w:rsid w:val="003B2395"/>
    <w:rsid w:val="003B23C3"/>
    <w:rsid w:val="003B300D"/>
    <w:rsid w:val="003B34A6"/>
    <w:rsid w:val="003B3927"/>
    <w:rsid w:val="003B4C23"/>
    <w:rsid w:val="003B4F0E"/>
    <w:rsid w:val="003B583F"/>
    <w:rsid w:val="003B58FD"/>
    <w:rsid w:val="003B5AFB"/>
    <w:rsid w:val="003B6EE7"/>
    <w:rsid w:val="003B71BC"/>
    <w:rsid w:val="003B7666"/>
    <w:rsid w:val="003B7E78"/>
    <w:rsid w:val="003B7EF4"/>
    <w:rsid w:val="003C0667"/>
    <w:rsid w:val="003C18A9"/>
    <w:rsid w:val="003C305B"/>
    <w:rsid w:val="003C3CD7"/>
    <w:rsid w:val="003C4A9D"/>
    <w:rsid w:val="003C5970"/>
    <w:rsid w:val="003C5AF5"/>
    <w:rsid w:val="003C7456"/>
    <w:rsid w:val="003C756A"/>
    <w:rsid w:val="003C7A0C"/>
    <w:rsid w:val="003C7ACC"/>
    <w:rsid w:val="003D02F3"/>
    <w:rsid w:val="003D050F"/>
    <w:rsid w:val="003D0D41"/>
    <w:rsid w:val="003D1446"/>
    <w:rsid w:val="003D22CA"/>
    <w:rsid w:val="003D27F7"/>
    <w:rsid w:val="003D2AC3"/>
    <w:rsid w:val="003D33FA"/>
    <w:rsid w:val="003D3AA1"/>
    <w:rsid w:val="003D3BD0"/>
    <w:rsid w:val="003D41E7"/>
    <w:rsid w:val="003D591D"/>
    <w:rsid w:val="003D5BAB"/>
    <w:rsid w:val="003D5C51"/>
    <w:rsid w:val="003D5F47"/>
    <w:rsid w:val="003D60CA"/>
    <w:rsid w:val="003D6945"/>
    <w:rsid w:val="003D79FF"/>
    <w:rsid w:val="003E0C60"/>
    <w:rsid w:val="003E1665"/>
    <w:rsid w:val="003E1671"/>
    <w:rsid w:val="003E1773"/>
    <w:rsid w:val="003E2583"/>
    <w:rsid w:val="003E2779"/>
    <w:rsid w:val="003E30FF"/>
    <w:rsid w:val="003E3878"/>
    <w:rsid w:val="003E3F0F"/>
    <w:rsid w:val="003E500C"/>
    <w:rsid w:val="003E6B8D"/>
    <w:rsid w:val="003E6CCE"/>
    <w:rsid w:val="003E6FCA"/>
    <w:rsid w:val="003E7171"/>
    <w:rsid w:val="003E77F3"/>
    <w:rsid w:val="003E7A05"/>
    <w:rsid w:val="003F0C46"/>
    <w:rsid w:val="003F2143"/>
    <w:rsid w:val="003F227A"/>
    <w:rsid w:val="003F2B66"/>
    <w:rsid w:val="003F3960"/>
    <w:rsid w:val="003F399E"/>
    <w:rsid w:val="003F3C7F"/>
    <w:rsid w:val="003F470C"/>
    <w:rsid w:val="003F48EC"/>
    <w:rsid w:val="003F4A7F"/>
    <w:rsid w:val="003F4B7A"/>
    <w:rsid w:val="003F5B57"/>
    <w:rsid w:val="003F656E"/>
    <w:rsid w:val="003F6AEB"/>
    <w:rsid w:val="003F77F1"/>
    <w:rsid w:val="003F7CD5"/>
    <w:rsid w:val="004008FD"/>
    <w:rsid w:val="004010D0"/>
    <w:rsid w:val="004011F2"/>
    <w:rsid w:val="00401865"/>
    <w:rsid w:val="00401EF0"/>
    <w:rsid w:val="00401F40"/>
    <w:rsid w:val="004029CE"/>
    <w:rsid w:val="00402B85"/>
    <w:rsid w:val="004049A8"/>
    <w:rsid w:val="00404B2C"/>
    <w:rsid w:val="00404CA1"/>
    <w:rsid w:val="004051F6"/>
    <w:rsid w:val="004053AC"/>
    <w:rsid w:val="004061CA"/>
    <w:rsid w:val="00406596"/>
    <w:rsid w:val="004079FB"/>
    <w:rsid w:val="00407D0B"/>
    <w:rsid w:val="00410180"/>
    <w:rsid w:val="00410E96"/>
    <w:rsid w:val="0041127D"/>
    <w:rsid w:val="00411A85"/>
    <w:rsid w:val="00411A8E"/>
    <w:rsid w:val="0041233A"/>
    <w:rsid w:val="00412656"/>
    <w:rsid w:val="00414A0E"/>
    <w:rsid w:val="004150F1"/>
    <w:rsid w:val="00415751"/>
    <w:rsid w:val="0041578C"/>
    <w:rsid w:val="00421DEC"/>
    <w:rsid w:val="0042208C"/>
    <w:rsid w:val="00422F1B"/>
    <w:rsid w:val="00423109"/>
    <w:rsid w:val="004233A1"/>
    <w:rsid w:val="00423EDA"/>
    <w:rsid w:val="00423FB8"/>
    <w:rsid w:val="0042410F"/>
    <w:rsid w:val="0042499C"/>
    <w:rsid w:val="0042538B"/>
    <w:rsid w:val="00425784"/>
    <w:rsid w:val="00425A3F"/>
    <w:rsid w:val="00425DAE"/>
    <w:rsid w:val="00427FFD"/>
    <w:rsid w:val="00430707"/>
    <w:rsid w:val="00431199"/>
    <w:rsid w:val="00431A16"/>
    <w:rsid w:val="00431A43"/>
    <w:rsid w:val="00432240"/>
    <w:rsid w:val="00432A0E"/>
    <w:rsid w:val="004331D3"/>
    <w:rsid w:val="00433205"/>
    <w:rsid w:val="004347A9"/>
    <w:rsid w:val="00434830"/>
    <w:rsid w:val="00435535"/>
    <w:rsid w:val="00435B98"/>
    <w:rsid w:val="00435C03"/>
    <w:rsid w:val="00436873"/>
    <w:rsid w:val="00436B65"/>
    <w:rsid w:val="00437ACF"/>
    <w:rsid w:val="00437F04"/>
    <w:rsid w:val="004413FB"/>
    <w:rsid w:val="00441C9F"/>
    <w:rsid w:val="00442164"/>
    <w:rsid w:val="00442762"/>
    <w:rsid w:val="00442A83"/>
    <w:rsid w:val="00443785"/>
    <w:rsid w:val="00443BE0"/>
    <w:rsid w:val="00444487"/>
    <w:rsid w:val="0044473A"/>
    <w:rsid w:val="004451D4"/>
    <w:rsid w:val="0044521F"/>
    <w:rsid w:val="004458D0"/>
    <w:rsid w:val="00445919"/>
    <w:rsid w:val="00446C3C"/>
    <w:rsid w:val="00447746"/>
    <w:rsid w:val="00447BA5"/>
    <w:rsid w:val="00450124"/>
    <w:rsid w:val="00450B05"/>
    <w:rsid w:val="0045223E"/>
    <w:rsid w:val="00452441"/>
    <w:rsid w:val="0045273B"/>
    <w:rsid w:val="00452AC6"/>
    <w:rsid w:val="00452EFC"/>
    <w:rsid w:val="00452FC1"/>
    <w:rsid w:val="004531F1"/>
    <w:rsid w:val="00453397"/>
    <w:rsid w:val="004534EE"/>
    <w:rsid w:val="004538C4"/>
    <w:rsid w:val="00453A85"/>
    <w:rsid w:val="00453E42"/>
    <w:rsid w:val="00454533"/>
    <w:rsid w:val="004556E9"/>
    <w:rsid w:val="00455AFB"/>
    <w:rsid w:val="0045652F"/>
    <w:rsid w:val="00456776"/>
    <w:rsid w:val="00456B67"/>
    <w:rsid w:val="00456D23"/>
    <w:rsid w:val="004573EE"/>
    <w:rsid w:val="00457827"/>
    <w:rsid w:val="00461581"/>
    <w:rsid w:val="004615E8"/>
    <w:rsid w:val="0046243C"/>
    <w:rsid w:val="004639C3"/>
    <w:rsid w:val="004644F0"/>
    <w:rsid w:val="00464520"/>
    <w:rsid w:val="00465143"/>
    <w:rsid w:val="00465825"/>
    <w:rsid w:val="00465E3C"/>
    <w:rsid w:val="00467F99"/>
    <w:rsid w:val="004707A1"/>
    <w:rsid w:val="00470B6C"/>
    <w:rsid w:val="00471E7B"/>
    <w:rsid w:val="0047215C"/>
    <w:rsid w:val="0047216D"/>
    <w:rsid w:val="00472257"/>
    <w:rsid w:val="00472487"/>
    <w:rsid w:val="004726FA"/>
    <w:rsid w:val="0047283D"/>
    <w:rsid w:val="00472CC1"/>
    <w:rsid w:val="004738B7"/>
    <w:rsid w:val="00473F3E"/>
    <w:rsid w:val="00474155"/>
    <w:rsid w:val="0047498E"/>
    <w:rsid w:val="00474A29"/>
    <w:rsid w:val="004755A4"/>
    <w:rsid w:val="00476505"/>
    <w:rsid w:val="00477616"/>
    <w:rsid w:val="00477660"/>
    <w:rsid w:val="004819C0"/>
    <w:rsid w:val="00481C51"/>
    <w:rsid w:val="00482039"/>
    <w:rsid w:val="0048267E"/>
    <w:rsid w:val="0048283F"/>
    <w:rsid w:val="00482E1D"/>
    <w:rsid w:val="00482E77"/>
    <w:rsid w:val="0048335A"/>
    <w:rsid w:val="00483FEB"/>
    <w:rsid w:val="00484635"/>
    <w:rsid w:val="0048475C"/>
    <w:rsid w:val="00484D54"/>
    <w:rsid w:val="00484E50"/>
    <w:rsid w:val="00484FE4"/>
    <w:rsid w:val="00485A15"/>
    <w:rsid w:val="00486300"/>
    <w:rsid w:val="0048703F"/>
    <w:rsid w:val="00487D69"/>
    <w:rsid w:val="00487D81"/>
    <w:rsid w:val="00487DBD"/>
    <w:rsid w:val="00490F73"/>
    <w:rsid w:val="004918D0"/>
    <w:rsid w:val="00491A25"/>
    <w:rsid w:val="00491A31"/>
    <w:rsid w:val="00491DAA"/>
    <w:rsid w:val="00493D66"/>
    <w:rsid w:val="00494122"/>
    <w:rsid w:val="00494C18"/>
    <w:rsid w:val="00494C76"/>
    <w:rsid w:val="00494D6D"/>
    <w:rsid w:val="00495148"/>
    <w:rsid w:val="00495AF8"/>
    <w:rsid w:val="00495BD3"/>
    <w:rsid w:val="00495FB3"/>
    <w:rsid w:val="004966AA"/>
    <w:rsid w:val="00496CEF"/>
    <w:rsid w:val="00496E94"/>
    <w:rsid w:val="0049785E"/>
    <w:rsid w:val="00497A18"/>
    <w:rsid w:val="00497F45"/>
    <w:rsid w:val="004A0CB1"/>
    <w:rsid w:val="004A18A7"/>
    <w:rsid w:val="004A1A03"/>
    <w:rsid w:val="004A200A"/>
    <w:rsid w:val="004A33B8"/>
    <w:rsid w:val="004A36BC"/>
    <w:rsid w:val="004A475F"/>
    <w:rsid w:val="004A4DC2"/>
    <w:rsid w:val="004A523F"/>
    <w:rsid w:val="004A587A"/>
    <w:rsid w:val="004A607E"/>
    <w:rsid w:val="004A68B9"/>
    <w:rsid w:val="004A69A1"/>
    <w:rsid w:val="004A6A88"/>
    <w:rsid w:val="004A735A"/>
    <w:rsid w:val="004A7DFF"/>
    <w:rsid w:val="004B00F1"/>
    <w:rsid w:val="004B087A"/>
    <w:rsid w:val="004B1964"/>
    <w:rsid w:val="004B1C16"/>
    <w:rsid w:val="004B21E4"/>
    <w:rsid w:val="004B2600"/>
    <w:rsid w:val="004B35A7"/>
    <w:rsid w:val="004B3B14"/>
    <w:rsid w:val="004B4247"/>
    <w:rsid w:val="004B4462"/>
    <w:rsid w:val="004B535C"/>
    <w:rsid w:val="004B5C9D"/>
    <w:rsid w:val="004B6D76"/>
    <w:rsid w:val="004B75F2"/>
    <w:rsid w:val="004C015D"/>
    <w:rsid w:val="004C01CB"/>
    <w:rsid w:val="004C0460"/>
    <w:rsid w:val="004C0766"/>
    <w:rsid w:val="004C0978"/>
    <w:rsid w:val="004C0B09"/>
    <w:rsid w:val="004C0B86"/>
    <w:rsid w:val="004C13DD"/>
    <w:rsid w:val="004C14F5"/>
    <w:rsid w:val="004C1508"/>
    <w:rsid w:val="004C15F0"/>
    <w:rsid w:val="004C181A"/>
    <w:rsid w:val="004C1936"/>
    <w:rsid w:val="004C19A4"/>
    <w:rsid w:val="004C3F64"/>
    <w:rsid w:val="004C48EC"/>
    <w:rsid w:val="004C4972"/>
    <w:rsid w:val="004C6A8D"/>
    <w:rsid w:val="004C7B0C"/>
    <w:rsid w:val="004D051F"/>
    <w:rsid w:val="004D176B"/>
    <w:rsid w:val="004D17FE"/>
    <w:rsid w:val="004D1C65"/>
    <w:rsid w:val="004D2AAA"/>
    <w:rsid w:val="004D2D97"/>
    <w:rsid w:val="004D3101"/>
    <w:rsid w:val="004D3995"/>
    <w:rsid w:val="004D4ECE"/>
    <w:rsid w:val="004D51B2"/>
    <w:rsid w:val="004D525D"/>
    <w:rsid w:val="004D526A"/>
    <w:rsid w:val="004D562D"/>
    <w:rsid w:val="004D68B1"/>
    <w:rsid w:val="004D6A42"/>
    <w:rsid w:val="004D6BD5"/>
    <w:rsid w:val="004D6D68"/>
    <w:rsid w:val="004D6E86"/>
    <w:rsid w:val="004D6FE7"/>
    <w:rsid w:val="004E03F8"/>
    <w:rsid w:val="004E102B"/>
    <w:rsid w:val="004E1719"/>
    <w:rsid w:val="004E206E"/>
    <w:rsid w:val="004E2192"/>
    <w:rsid w:val="004E26C5"/>
    <w:rsid w:val="004E27CA"/>
    <w:rsid w:val="004E3C82"/>
    <w:rsid w:val="004E4979"/>
    <w:rsid w:val="004E5FE0"/>
    <w:rsid w:val="004E6AFD"/>
    <w:rsid w:val="004E6FD5"/>
    <w:rsid w:val="004E7328"/>
    <w:rsid w:val="004E7AF1"/>
    <w:rsid w:val="004F0402"/>
    <w:rsid w:val="004F1637"/>
    <w:rsid w:val="004F1B08"/>
    <w:rsid w:val="004F1BCA"/>
    <w:rsid w:val="004F2505"/>
    <w:rsid w:val="004F27A5"/>
    <w:rsid w:val="004F2D2B"/>
    <w:rsid w:val="004F2F94"/>
    <w:rsid w:val="004F56B1"/>
    <w:rsid w:val="004F674D"/>
    <w:rsid w:val="004F6F45"/>
    <w:rsid w:val="004F74EF"/>
    <w:rsid w:val="004F79A4"/>
    <w:rsid w:val="004F7DD2"/>
    <w:rsid w:val="0050087C"/>
    <w:rsid w:val="0050119A"/>
    <w:rsid w:val="00501E96"/>
    <w:rsid w:val="00501F56"/>
    <w:rsid w:val="00504314"/>
    <w:rsid w:val="005043E4"/>
    <w:rsid w:val="00504741"/>
    <w:rsid w:val="00505DB8"/>
    <w:rsid w:val="00506128"/>
    <w:rsid w:val="005066D9"/>
    <w:rsid w:val="00506B09"/>
    <w:rsid w:val="00506BA9"/>
    <w:rsid w:val="00506DFD"/>
    <w:rsid w:val="00507B16"/>
    <w:rsid w:val="00510039"/>
    <w:rsid w:val="0051077C"/>
    <w:rsid w:val="005109FA"/>
    <w:rsid w:val="005112E9"/>
    <w:rsid w:val="0051147F"/>
    <w:rsid w:val="00512356"/>
    <w:rsid w:val="005123CA"/>
    <w:rsid w:val="00512D8B"/>
    <w:rsid w:val="00512E74"/>
    <w:rsid w:val="0051385F"/>
    <w:rsid w:val="00513B60"/>
    <w:rsid w:val="0051417F"/>
    <w:rsid w:val="0051482B"/>
    <w:rsid w:val="0051536E"/>
    <w:rsid w:val="0051577A"/>
    <w:rsid w:val="00515ACC"/>
    <w:rsid w:val="005168B5"/>
    <w:rsid w:val="00516FBB"/>
    <w:rsid w:val="0052041F"/>
    <w:rsid w:val="005208A3"/>
    <w:rsid w:val="00521274"/>
    <w:rsid w:val="00521520"/>
    <w:rsid w:val="0052191B"/>
    <w:rsid w:val="00522148"/>
    <w:rsid w:val="0052232F"/>
    <w:rsid w:val="005227BB"/>
    <w:rsid w:val="00522A27"/>
    <w:rsid w:val="00522EB3"/>
    <w:rsid w:val="005230FA"/>
    <w:rsid w:val="005237F6"/>
    <w:rsid w:val="00523E25"/>
    <w:rsid w:val="00523E41"/>
    <w:rsid w:val="005241F5"/>
    <w:rsid w:val="005245FC"/>
    <w:rsid w:val="00524ED3"/>
    <w:rsid w:val="00525774"/>
    <w:rsid w:val="0052641B"/>
    <w:rsid w:val="005265A1"/>
    <w:rsid w:val="00527076"/>
    <w:rsid w:val="00527C19"/>
    <w:rsid w:val="00530D3F"/>
    <w:rsid w:val="00531A80"/>
    <w:rsid w:val="00531DE7"/>
    <w:rsid w:val="00532764"/>
    <w:rsid w:val="005328DB"/>
    <w:rsid w:val="005348A9"/>
    <w:rsid w:val="00536E33"/>
    <w:rsid w:val="005371D9"/>
    <w:rsid w:val="0053724B"/>
    <w:rsid w:val="00537A01"/>
    <w:rsid w:val="00540BA2"/>
    <w:rsid w:val="00541D1C"/>
    <w:rsid w:val="005422CA"/>
    <w:rsid w:val="00542C02"/>
    <w:rsid w:val="00542D80"/>
    <w:rsid w:val="00542F08"/>
    <w:rsid w:val="005434DA"/>
    <w:rsid w:val="00544872"/>
    <w:rsid w:val="00545525"/>
    <w:rsid w:val="0054608D"/>
    <w:rsid w:val="00546BAD"/>
    <w:rsid w:val="00546F8D"/>
    <w:rsid w:val="005478C9"/>
    <w:rsid w:val="005505B1"/>
    <w:rsid w:val="00550CDA"/>
    <w:rsid w:val="005511FC"/>
    <w:rsid w:val="0055163D"/>
    <w:rsid w:val="005529F4"/>
    <w:rsid w:val="00552FF5"/>
    <w:rsid w:val="00553A05"/>
    <w:rsid w:val="00553B41"/>
    <w:rsid w:val="005541DA"/>
    <w:rsid w:val="005556F9"/>
    <w:rsid w:val="00556241"/>
    <w:rsid w:val="00556306"/>
    <w:rsid w:val="0055697A"/>
    <w:rsid w:val="005574D2"/>
    <w:rsid w:val="0055790F"/>
    <w:rsid w:val="00560871"/>
    <w:rsid w:val="00560B0A"/>
    <w:rsid w:val="00560D03"/>
    <w:rsid w:val="00560D15"/>
    <w:rsid w:val="00561AC2"/>
    <w:rsid w:val="00562B77"/>
    <w:rsid w:val="00562CDB"/>
    <w:rsid w:val="005633DE"/>
    <w:rsid w:val="00563409"/>
    <w:rsid w:val="00564492"/>
    <w:rsid w:val="005646FD"/>
    <w:rsid w:val="00564B93"/>
    <w:rsid w:val="005669AC"/>
    <w:rsid w:val="00566D08"/>
    <w:rsid w:val="005671DB"/>
    <w:rsid w:val="005704CB"/>
    <w:rsid w:val="00570A3E"/>
    <w:rsid w:val="005715F1"/>
    <w:rsid w:val="005719F4"/>
    <w:rsid w:val="00572051"/>
    <w:rsid w:val="0057311F"/>
    <w:rsid w:val="00573279"/>
    <w:rsid w:val="00573A57"/>
    <w:rsid w:val="0057428E"/>
    <w:rsid w:val="00574B5E"/>
    <w:rsid w:val="0057529C"/>
    <w:rsid w:val="0057534B"/>
    <w:rsid w:val="00575BDE"/>
    <w:rsid w:val="005762FD"/>
    <w:rsid w:val="00576514"/>
    <w:rsid w:val="005768EF"/>
    <w:rsid w:val="00577484"/>
    <w:rsid w:val="005775E3"/>
    <w:rsid w:val="00577DD6"/>
    <w:rsid w:val="00580110"/>
    <w:rsid w:val="005816AE"/>
    <w:rsid w:val="005821F6"/>
    <w:rsid w:val="0058294A"/>
    <w:rsid w:val="00583521"/>
    <w:rsid w:val="0058374C"/>
    <w:rsid w:val="00583B83"/>
    <w:rsid w:val="00584CA0"/>
    <w:rsid w:val="0058566E"/>
    <w:rsid w:val="00585951"/>
    <w:rsid w:val="005865F1"/>
    <w:rsid w:val="00586D06"/>
    <w:rsid w:val="005872BC"/>
    <w:rsid w:val="00587D2C"/>
    <w:rsid w:val="005901B8"/>
    <w:rsid w:val="00590609"/>
    <w:rsid w:val="00590878"/>
    <w:rsid w:val="00590AB3"/>
    <w:rsid w:val="00590C36"/>
    <w:rsid w:val="00590D1A"/>
    <w:rsid w:val="005914EA"/>
    <w:rsid w:val="00592369"/>
    <w:rsid w:val="005931BC"/>
    <w:rsid w:val="00593D23"/>
    <w:rsid w:val="00593ECE"/>
    <w:rsid w:val="005941A9"/>
    <w:rsid w:val="005959EC"/>
    <w:rsid w:val="00595A01"/>
    <w:rsid w:val="00595BE0"/>
    <w:rsid w:val="005964A3"/>
    <w:rsid w:val="0059670D"/>
    <w:rsid w:val="00596FEF"/>
    <w:rsid w:val="00597240"/>
    <w:rsid w:val="005974CF"/>
    <w:rsid w:val="0059778C"/>
    <w:rsid w:val="00597BAC"/>
    <w:rsid w:val="005A01BC"/>
    <w:rsid w:val="005A4335"/>
    <w:rsid w:val="005A45E5"/>
    <w:rsid w:val="005A6488"/>
    <w:rsid w:val="005A784A"/>
    <w:rsid w:val="005A7BF0"/>
    <w:rsid w:val="005B07BB"/>
    <w:rsid w:val="005B0F81"/>
    <w:rsid w:val="005B114A"/>
    <w:rsid w:val="005B12A4"/>
    <w:rsid w:val="005B1524"/>
    <w:rsid w:val="005B19B9"/>
    <w:rsid w:val="005B1D38"/>
    <w:rsid w:val="005B3BF2"/>
    <w:rsid w:val="005B4AA6"/>
    <w:rsid w:val="005B54E5"/>
    <w:rsid w:val="005B7B91"/>
    <w:rsid w:val="005C0AF6"/>
    <w:rsid w:val="005C0E28"/>
    <w:rsid w:val="005C101A"/>
    <w:rsid w:val="005C127B"/>
    <w:rsid w:val="005C1A83"/>
    <w:rsid w:val="005C1B40"/>
    <w:rsid w:val="005C31D9"/>
    <w:rsid w:val="005C40AE"/>
    <w:rsid w:val="005C43B4"/>
    <w:rsid w:val="005C46E1"/>
    <w:rsid w:val="005C49F9"/>
    <w:rsid w:val="005C517B"/>
    <w:rsid w:val="005C5989"/>
    <w:rsid w:val="005C654C"/>
    <w:rsid w:val="005C6B6E"/>
    <w:rsid w:val="005C773B"/>
    <w:rsid w:val="005D006C"/>
    <w:rsid w:val="005D0CBD"/>
    <w:rsid w:val="005D1366"/>
    <w:rsid w:val="005D15F4"/>
    <w:rsid w:val="005D16C0"/>
    <w:rsid w:val="005D18A5"/>
    <w:rsid w:val="005D1FB3"/>
    <w:rsid w:val="005D24B7"/>
    <w:rsid w:val="005D380D"/>
    <w:rsid w:val="005D4294"/>
    <w:rsid w:val="005D4CB5"/>
    <w:rsid w:val="005D51EA"/>
    <w:rsid w:val="005D55A6"/>
    <w:rsid w:val="005D6233"/>
    <w:rsid w:val="005D63C1"/>
    <w:rsid w:val="005D7916"/>
    <w:rsid w:val="005E0AEF"/>
    <w:rsid w:val="005E173C"/>
    <w:rsid w:val="005E1FE6"/>
    <w:rsid w:val="005E20D6"/>
    <w:rsid w:val="005E320E"/>
    <w:rsid w:val="005E3965"/>
    <w:rsid w:val="005E3BD7"/>
    <w:rsid w:val="005E4CA7"/>
    <w:rsid w:val="005E5C81"/>
    <w:rsid w:val="005E5DE8"/>
    <w:rsid w:val="005E5EB4"/>
    <w:rsid w:val="005E66FE"/>
    <w:rsid w:val="005E7696"/>
    <w:rsid w:val="005F0A92"/>
    <w:rsid w:val="005F0C5F"/>
    <w:rsid w:val="005F1F5B"/>
    <w:rsid w:val="005F273E"/>
    <w:rsid w:val="005F4993"/>
    <w:rsid w:val="005F5CEA"/>
    <w:rsid w:val="005F6A9C"/>
    <w:rsid w:val="00600F7E"/>
    <w:rsid w:val="0060155B"/>
    <w:rsid w:val="00601DD1"/>
    <w:rsid w:val="00602424"/>
    <w:rsid w:val="006026BA"/>
    <w:rsid w:val="00602DD6"/>
    <w:rsid w:val="006035BF"/>
    <w:rsid w:val="00604231"/>
    <w:rsid w:val="006048BD"/>
    <w:rsid w:val="00604928"/>
    <w:rsid w:val="00604B7B"/>
    <w:rsid w:val="00604B8F"/>
    <w:rsid w:val="00604BEF"/>
    <w:rsid w:val="00604F30"/>
    <w:rsid w:val="006055DE"/>
    <w:rsid w:val="00605A90"/>
    <w:rsid w:val="006060BF"/>
    <w:rsid w:val="006067E6"/>
    <w:rsid w:val="00606E51"/>
    <w:rsid w:val="006073E2"/>
    <w:rsid w:val="006075D2"/>
    <w:rsid w:val="00607934"/>
    <w:rsid w:val="00607E35"/>
    <w:rsid w:val="00610CA3"/>
    <w:rsid w:val="00610FFB"/>
    <w:rsid w:val="006119FF"/>
    <w:rsid w:val="00612576"/>
    <w:rsid w:val="006127AC"/>
    <w:rsid w:val="006128E4"/>
    <w:rsid w:val="0061358E"/>
    <w:rsid w:val="00614D91"/>
    <w:rsid w:val="00614F3F"/>
    <w:rsid w:val="00615EAB"/>
    <w:rsid w:val="00617929"/>
    <w:rsid w:val="00620491"/>
    <w:rsid w:val="00620848"/>
    <w:rsid w:val="00621D7B"/>
    <w:rsid w:val="00622303"/>
    <w:rsid w:val="00622AD7"/>
    <w:rsid w:val="00623998"/>
    <w:rsid w:val="00623F07"/>
    <w:rsid w:val="00624196"/>
    <w:rsid w:val="006271DD"/>
    <w:rsid w:val="006275EE"/>
    <w:rsid w:val="00630DFA"/>
    <w:rsid w:val="00630F01"/>
    <w:rsid w:val="00631334"/>
    <w:rsid w:val="006320BB"/>
    <w:rsid w:val="0063259D"/>
    <w:rsid w:val="00632FE5"/>
    <w:rsid w:val="006338F6"/>
    <w:rsid w:val="00633C6C"/>
    <w:rsid w:val="00633F81"/>
    <w:rsid w:val="00633FA4"/>
    <w:rsid w:val="006351A7"/>
    <w:rsid w:val="006352E0"/>
    <w:rsid w:val="006352EF"/>
    <w:rsid w:val="0063571D"/>
    <w:rsid w:val="00635AB1"/>
    <w:rsid w:val="00635CF0"/>
    <w:rsid w:val="00635FC7"/>
    <w:rsid w:val="006366D9"/>
    <w:rsid w:val="00636713"/>
    <w:rsid w:val="006378FD"/>
    <w:rsid w:val="0064021A"/>
    <w:rsid w:val="00640275"/>
    <w:rsid w:val="00640480"/>
    <w:rsid w:val="00640608"/>
    <w:rsid w:val="00640B2B"/>
    <w:rsid w:val="00640F3C"/>
    <w:rsid w:val="00641080"/>
    <w:rsid w:val="006423CC"/>
    <w:rsid w:val="00642B20"/>
    <w:rsid w:val="0064311D"/>
    <w:rsid w:val="00643931"/>
    <w:rsid w:val="00644991"/>
    <w:rsid w:val="00644FA3"/>
    <w:rsid w:val="00645461"/>
    <w:rsid w:val="006454FB"/>
    <w:rsid w:val="00645C56"/>
    <w:rsid w:val="0064625B"/>
    <w:rsid w:val="00646403"/>
    <w:rsid w:val="006470D5"/>
    <w:rsid w:val="00647753"/>
    <w:rsid w:val="00647836"/>
    <w:rsid w:val="00647BB1"/>
    <w:rsid w:val="00647CDA"/>
    <w:rsid w:val="00650B63"/>
    <w:rsid w:val="00650B84"/>
    <w:rsid w:val="00650D27"/>
    <w:rsid w:val="006510D6"/>
    <w:rsid w:val="00653B05"/>
    <w:rsid w:val="006540CF"/>
    <w:rsid w:val="006552F6"/>
    <w:rsid w:val="006554D8"/>
    <w:rsid w:val="00655503"/>
    <w:rsid w:val="006558A4"/>
    <w:rsid w:val="0065630D"/>
    <w:rsid w:val="00656C9B"/>
    <w:rsid w:val="00656D17"/>
    <w:rsid w:val="006579A9"/>
    <w:rsid w:val="006601E9"/>
    <w:rsid w:val="0066024C"/>
    <w:rsid w:val="00660BB1"/>
    <w:rsid w:val="0066173E"/>
    <w:rsid w:val="006619D0"/>
    <w:rsid w:val="00661E38"/>
    <w:rsid w:val="0066211E"/>
    <w:rsid w:val="006621ED"/>
    <w:rsid w:val="006628EB"/>
    <w:rsid w:val="00663AC3"/>
    <w:rsid w:val="00663B56"/>
    <w:rsid w:val="00664201"/>
    <w:rsid w:val="0066449D"/>
    <w:rsid w:val="00665277"/>
    <w:rsid w:val="006669D0"/>
    <w:rsid w:val="006673D9"/>
    <w:rsid w:val="0066740A"/>
    <w:rsid w:val="00670922"/>
    <w:rsid w:val="00671424"/>
    <w:rsid w:val="00671784"/>
    <w:rsid w:val="006722BC"/>
    <w:rsid w:val="00672587"/>
    <w:rsid w:val="00672B19"/>
    <w:rsid w:val="00672C1E"/>
    <w:rsid w:val="00672F8B"/>
    <w:rsid w:val="00675987"/>
    <w:rsid w:val="00675B12"/>
    <w:rsid w:val="006764E2"/>
    <w:rsid w:val="00676810"/>
    <w:rsid w:val="00677BB8"/>
    <w:rsid w:val="006804FF"/>
    <w:rsid w:val="00680899"/>
    <w:rsid w:val="00680932"/>
    <w:rsid w:val="00680D13"/>
    <w:rsid w:val="00681AB4"/>
    <w:rsid w:val="00682038"/>
    <w:rsid w:val="00684FF8"/>
    <w:rsid w:val="00685159"/>
    <w:rsid w:val="006855B1"/>
    <w:rsid w:val="00685743"/>
    <w:rsid w:val="00685C86"/>
    <w:rsid w:val="00686734"/>
    <w:rsid w:val="006878D5"/>
    <w:rsid w:val="00687908"/>
    <w:rsid w:val="00687A84"/>
    <w:rsid w:val="006909D7"/>
    <w:rsid w:val="006917F7"/>
    <w:rsid w:val="00691D40"/>
    <w:rsid w:val="00694D2A"/>
    <w:rsid w:val="00694E04"/>
    <w:rsid w:val="00694E48"/>
    <w:rsid w:val="0069568A"/>
    <w:rsid w:val="00695FF1"/>
    <w:rsid w:val="00696951"/>
    <w:rsid w:val="0069708B"/>
    <w:rsid w:val="006A0B29"/>
    <w:rsid w:val="006A0CE9"/>
    <w:rsid w:val="006A1C2A"/>
    <w:rsid w:val="006A249D"/>
    <w:rsid w:val="006A2577"/>
    <w:rsid w:val="006A63D7"/>
    <w:rsid w:val="006A668D"/>
    <w:rsid w:val="006A6908"/>
    <w:rsid w:val="006A6F30"/>
    <w:rsid w:val="006A6FBF"/>
    <w:rsid w:val="006A79BD"/>
    <w:rsid w:val="006A7BD4"/>
    <w:rsid w:val="006B0FC7"/>
    <w:rsid w:val="006B12A0"/>
    <w:rsid w:val="006B1350"/>
    <w:rsid w:val="006B1871"/>
    <w:rsid w:val="006B1F7B"/>
    <w:rsid w:val="006B41A8"/>
    <w:rsid w:val="006B46E1"/>
    <w:rsid w:val="006B5985"/>
    <w:rsid w:val="006B5ACE"/>
    <w:rsid w:val="006B6088"/>
    <w:rsid w:val="006B63DD"/>
    <w:rsid w:val="006B6C96"/>
    <w:rsid w:val="006B7812"/>
    <w:rsid w:val="006B7EA6"/>
    <w:rsid w:val="006C0177"/>
    <w:rsid w:val="006C0355"/>
    <w:rsid w:val="006C1045"/>
    <w:rsid w:val="006C3B1E"/>
    <w:rsid w:val="006C4699"/>
    <w:rsid w:val="006C52F7"/>
    <w:rsid w:val="006C5470"/>
    <w:rsid w:val="006C5E51"/>
    <w:rsid w:val="006C61E6"/>
    <w:rsid w:val="006C6229"/>
    <w:rsid w:val="006C6E71"/>
    <w:rsid w:val="006C714E"/>
    <w:rsid w:val="006C7BC1"/>
    <w:rsid w:val="006D0055"/>
    <w:rsid w:val="006D0057"/>
    <w:rsid w:val="006D07B4"/>
    <w:rsid w:val="006D1430"/>
    <w:rsid w:val="006D315D"/>
    <w:rsid w:val="006D4447"/>
    <w:rsid w:val="006D597E"/>
    <w:rsid w:val="006D5B34"/>
    <w:rsid w:val="006D5D25"/>
    <w:rsid w:val="006D5D33"/>
    <w:rsid w:val="006D7AFE"/>
    <w:rsid w:val="006E0BAF"/>
    <w:rsid w:val="006E1087"/>
    <w:rsid w:val="006E1A65"/>
    <w:rsid w:val="006E2ECF"/>
    <w:rsid w:val="006E3719"/>
    <w:rsid w:val="006E3D39"/>
    <w:rsid w:val="006E5030"/>
    <w:rsid w:val="006E610F"/>
    <w:rsid w:val="006E6571"/>
    <w:rsid w:val="006E6C3A"/>
    <w:rsid w:val="006E7363"/>
    <w:rsid w:val="006E7ABF"/>
    <w:rsid w:val="006E7F6C"/>
    <w:rsid w:val="006F1567"/>
    <w:rsid w:val="006F176C"/>
    <w:rsid w:val="006F20EA"/>
    <w:rsid w:val="006F3461"/>
    <w:rsid w:val="006F3539"/>
    <w:rsid w:val="006F48F0"/>
    <w:rsid w:val="006F4D7D"/>
    <w:rsid w:val="006F4E37"/>
    <w:rsid w:val="006F5068"/>
    <w:rsid w:val="006F526D"/>
    <w:rsid w:val="006F52FF"/>
    <w:rsid w:val="006F592B"/>
    <w:rsid w:val="006F5C2B"/>
    <w:rsid w:val="006F6262"/>
    <w:rsid w:val="006F6414"/>
    <w:rsid w:val="006F7190"/>
    <w:rsid w:val="006F77EF"/>
    <w:rsid w:val="006F791E"/>
    <w:rsid w:val="006F7A24"/>
    <w:rsid w:val="006F7A9A"/>
    <w:rsid w:val="007000D5"/>
    <w:rsid w:val="00700927"/>
    <w:rsid w:val="007009C7"/>
    <w:rsid w:val="00700BF9"/>
    <w:rsid w:val="00701917"/>
    <w:rsid w:val="00701F51"/>
    <w:rsid w:val="00702F07"/>
    <w:rsid w:val="007039CB"/>
    <w:rsid w:val="00703BAF"/>
    <w:rsid w:val="00705B96"/>
    <w:rsid w:val="00706DFB"/>
    <w:rsid w:val="007070B9"/>
    <w:rsid w:val="007114EB"/>
    <w:rsid w:val="0071162F"/>
    <w:rsid w:val="0071180D"/>
    <w:rsid w:val="00711BF6"/>
    <w:rsid w:val="007125F8"/>
    <w:rsid w:val="00712EEB"/>
    <w:rsid w:val="00712EF6"/>
    <w:rsid w:val="007132FF"/>
    <w:rsid w:val="00714F90"/>
    <w:rsid w:val="007152CB"/>
    <w:rsid w:val="00715547"/>
    <w:rsid w:val="0071575D"/>
    <w:rsid w:val="00715A00"/>
    <w:rsid w:val="00715F36"/>
    <w:rsid w:val="0071639F"/>
    <w:rsid w:val="007165FF"/>
    <w:rsid w:val="00717230"/>
    <w:rsid w:val="007179AA"/>
    <w:rsid w:val="007203BA"/>
    <w:rsid w:val="0072122E"/>
    <w:rsid w:val="007216BD"/>
    <w:rsid w:val="007218E5"/>
    <w:rsid w:val="00721F5E"/>
    <w:rsid w:val="00722CC9"/>
    <w:rsid w:val="00722EFA"/>
    <w:rsid w:val="00722F48"/>
    <w:rsid w:val="00724C47"/>
    <w:rsid w:val="00724EC7"/>
    <w:rsid w:val="00725BA4"/>
    <w:rsid w:val="00725E0D"/>
    <w:rsid w:val="00726543"/>
    <w:rsid w:val="00726D92"/>
    <w:rsid w:val="0072723E"/>
    <w:rsid w:val="007278E0"/>
    <w:rsid w:val="00727C88"/>
    <w:rsid w:val="00727CB1"/>
    <w:rsid w:val="007300E2"/>
    <w:rsid w:val="0073018C"/>
    <w:rsid w:val="00730C2D"/>
    <w:rsid w:val="00730CB6"/>
    <w:rsid w:val="00730E3C"/>
    <w:rsid w:val="00731B80"/>
    <w:rsid w:val="007326CC"/>
    <w:rsid w:val="00735926"/>
    <w:rsid w:val="00736148"/>
    <w:rsid w:val="007363B3"/>
    <w:rsid w:val="00736A00"/>
    <w:rsid w:val="007372E9"/>
    <w:rsid w:val="00740055"/>
    <w:rsid w:val="00740B4C"/>
    <w:rsid w:val="00741B10"/>
    <w:rsid w:val="007422A0"/>
    <w:rsid w:val="00742E5A"/>
    <w:rsid w:val="007439F8"/>
    <w:rsid w:val="0074400C"/>
    <w:rsid w:val="007441FD"/>
    <w:rsid w:val="007445D1"/>
    <w:rsid w:val="00744ADE"/>
    <w:rsid w:val="007454D4"/>
    <w:rsid w:val="007467E7"/>
    <w:rsid w:val="00746C81"/>
    <w:rsid w:val="00746F29"/>
    <w:rsid w:val="00746F69"/>
    <w:rsid w:val="00750070"/>
    <w:rsid w:val="00750679"/>
    <w:rsid w:val="00750F67"/>
    <w:rsid w:val="00751BC8"/>
    <w:rsid w:val="00752310"/>
    <w:rsid w:val="0075289E"/>
    <w:rsid w:val="00752B9C"/>
    <w:rsid w:val="00753E42"/>
    <w:rsid w:val="00754C06"/>
    <w:rsid w:val="00755177"/>
    <w:rsid w:val="0075527F"/>
    <w:rsid w:val="00755308"/>
    <w:rsid w:val="00756096"/>
    <w:rsid w:val="0075655E"/>
    <w:rsid w:val="007571AA"/>
    <w:rsid w:val="007577C0"/>
    <w:rsid w:val="00757AEC"/>
    <w:rsid w:val="00757C06"/>
    <w:rsid w:val="007612F4"/>
    <w:rsid w:val="0076250D"/>
    <w:rsid w:val="00762B38"/>
    <w:rsid w:val="007639BB"/>
    <w:rsid w:val="00764A16"/>
    <w:rsid w:val="00764B5D"/>
    <w:rsid w:val="007652F4"/>
    <w:rsid w:val="00765922"/>
    <w:rsid w:val="00765F21"/>
    <w:rsid w:val="00766563"/>
    <w:rsid w:val="00766BDF"/>
    <w:rsid w:val="00767945"/>
    <w:rsid w:val="00767B32"/>
    <w:rsid w:val="00767CAA"/>
    <w:rsid w:val="00767DF0"/>
    <w:rsid w:val="00771C0E"/>
    <w:rsid w:val="00772F46"/>
    <w:rsid w:val="007732D8"/>
    <w:rsid w:val="007736A6"/>
    <w:rsid w:val="00773A89"/>
    <w:rsid w:val="00773CF4"/>
    <w:rsid w:val="0077475D"/>
    <w:rsid w:val="00774A03"/>
    <w:rsid w:val="007753CF"/>
    <w:rsid w:val="00775594"/>
    <w:rsid w:val="00775D5E"/>
    <w:rsid w:val="00777E82"/>
    <w:rsid w:val="00777F7D"/>
    <w:rsid w:val="00780081"/>
    <w:rsid w:val="0078077E"/>
    <w:rsid w:val="0078172E"/>
    <w:rsid w:val="007830A5"/>
    <w:rsid w:val="0078311D"/>
    <w:rsid w:val="0078311F"/>
    <w:rsid w:val="00783483"/>
    <w:rsid w:val="00784869"/>
    <w:rsid w:val="00784C9B"/>
    <w:rsid w:val="007853FD"/>
    <w:rsid w:val="0078556A"/>
    <w:rsid w:val="00785587"/>
    <w:rsid w:val="007856C4"/>
    <w:rsid w:val="007857E5"/>
    <w:rsid w:val="00785C91"/>
    <w:rsid w:val="00790106"/>
    <w:rsid w:val="00791208"/>
    <w:rsid w:val="0079183B"/>
    <w:rsid w:val="00791B6B"/>
    <w:rsid w:val="007923C4"/>
    <w:rsid w:val="007925DA"/>
    <w:rsid w:val="0079379D"/>
    <w:rsid w:val="00793962"/>
    <w:rsid w:val="00794B2E"/>
    <w:rsid w:val="007956EA"/>
    <w:rsid w:val="00795BB4"/>
    <w:rsid w:val="007966EA"/>
    <w:rsid w:val="00796F30"/>
    <w:rsid w:val="00797717"/>
    <w:rsid w:val="00797E82"/>
    <w:rsid w:val="00797F1C"/>
    <w:rsid w:val="007A0786"/>
    <w:rsid w:val="007A0C5E"/>
    <w:rsid w:val="007A0D67"/>
    <w:rsid w:val="007A1A00"/>
    <w:rsid w:val="007A1E85"/>
    <w:rsid w:val="007A1EC4"/>
    <w:rsid w:val="007A1F84"/>
    <w:rsid w:val="007A517F"/>
    <w:rsid w:val="007A6538"/>
    <w:rsid w:val="007A6CAE"/>
    <w:rsid w:val="007A7443"/>
    <w:rsid w:val="007A7594"/>
    <w:rsid w:val="007A75D0"/>
    <w:rsid w:val="007A77F2"/>
    <w:rsid w:val="007A7F3E"/>
    <w:rsid w:val="007B1128"/>
    <w:rsid w:val="007B12FC"/>
    <w:rsid w:val="007B2A06"/>
    <w:rsid w:val="007B3039"/>
    <w:rsid w:val="007B3536"/>
    <w:rsid w:val="007B3908"/>
    <w:rsid w:val="007B4043"/>
    <w:rsid w:val="007B43B1"/>
    <w:rsid w:val="007B54B7"/>
    <w:rsid w:val="007B5533"/>
    <w:rsid w:val="007B5777"/>
    <w:rsid w:val="007B592E"/>
    <w:rsid w:val="007B5ACF"/>
    <w:rsid w:val="007B66D7"/>
    <w:rsid w:val="007B6F4D"/>
    <w:rsid w:val="007B712A"/>
    <w:rsid w:val="007B7908"/>
    <w:rsid w:val="007B79ED"/>
    <w:rsid w:val="007C29C0"/>
    <w:rsid w:val="007C2C1F"/>
    <w:rsid w:val="007C362D"/>
    <w:rsid w:val="007C37EC"/>
    <w:rsid w:val="007C451E"/>
    <w:rsid w:val="007C4FC3"/>
    <w:rsid w:val="007C7D43"/>
    <w:rsid w:val="007C7DC0"/>
    <w:rsid w:val="007D022C"/>
    <w:rsid w:val="007D025F"/>
    <w:rsid w:val="007D12CA"/>
    <w:rsid w:val="007D197C"/>
    <w:rsid w:val="007D3004"/>
    <w:rsid w:val="007D3612"/>
    <w:rsid w:val="007D46DB"/>
    <w:rsid w:val="007D5768"/>
    <w:rsid w:val="007D7576"/>
    <w:rsid w:val="007D757B"/>
    <w:rsid w:val="007D7F9B"/>
    <w:rsid w:val="007E0264"/>
    <w:rsid w:val="007E048D"/>
    <w:rsid w:val="007E0CC4"/>
    <w:rsid w:val="007E16CD"/>
    <w:rsid w:val="007E1861"/>
    <w:rsid w:val="007E18EC"/>
    <w:rsid w:val="007E1A9C"/>
    <w:rsid w:val="007E1AC3"/>
    <w:rsid w:val="007E1F54"/>
    <w:rsid w:val="007E2482"/>
    <w:rsid w:val="007E2C18"/>
    <w:rsid w:val="007E38D7"/>
    <w:rsid w:val="007E3C2A"/>
    <w:rsid w:val="007E3E2E"/>
    <w:rsid w:val="007E4C49"/>
    <w:rsid w:val="007E60C6"/>
    <w:rsid w:val="007E62C3"/>
    <w:rsid w:val="007E669A"/>
    <w:rsid w:val="007E6C2F"/>
    <w:rsid w:val="007E7147"/>
    <w:rsid w:val="007E7962"/>
    <w:rsid w:val="007E7A58"/>
    <w:rsid w:val="007E7A6F"/>
    <w:rsid w:val="007F0061"/>
    <w:rsid w:val="007F127C"/>
    <w:rsid w:val="007F136B"/>
    <w:rsid w:val="007F1637"/>
    <w:rsid w:val="007F1DD1"/>
    <w:rsid w:val="007F1FEF"/>
    <w:rsid w:val="007F427F"/>
    <w:rsid w:val="007F4C35"/>
    <w:rsid w:val="007F5698"/>
    <w:rsid w:val="007F6054"/>
    <w:rsid w:val="007F6370"/>
    <w:rsid w:val="007F7084"/>
    <w:rsid w:val="007F75CD"/>
    <w:rsid w:val="007F77FC"/>
    <w:rsid w:val="007F7982"/>
    <w:rsid w:val="007F7DD7"/>
    <w:rsid w:val="007F7FF4"/>
    <w:rsid w:val="008001C7"/>
    <w:rsid w:val="00800AE2"/>
    <w:rsid w:val="00801DE7"/>
    <w:rsid w:val="008021FB"/>
    <w:rsid w:val="00802296"/>
    <w:rsid w:val="00802318"/>
    <w:rsid w:val="00802D3F"/>
    <w:rsid w:val="00803DC0"/>
    <w:rsid w:val="0080546E"/>
    <w:rsid w:val="00805772"/>
    <w:rsid w:val="0080589E"/>
    <w:rsid w:val="00805B12"/>
    <w:rsid w:val="008065C0"/>
    <w:rsid w:val="00806A33"/>
    <w:rsid w:val="008070C7"/>
    <w:rsid w:val="00807BD5"/>
    <w:rsid w:val="00807EAF"/>
    <w:rsid w:val="008101D1"/>
    <w:rsid w:val="008120F1"/>
    <w:rsid w:val="0081243B"/>
    <w:rsid w:val="00812481"/>
    <w:rsid w:val="008128CA"/>
    <w:rsid w:val="00812978"/>
    <w:rsid w:val="00812C50"/>
    <w:rsid w:val="00812E4D"/>
    <w:rsid w:val="00812ECC"/>
    <w:rsid w:val="0081365C"/>
    <w:rsid w:val="00813820"/>
    <w:rsid w:val="00813DEC"/>
    <w:rsid w:val="0081425F"/>
    <w:rsid w:val="00814C8A"/>
    <w:rsid w:val="00815CF0"/>
    <w:rsid w:val="00816014"/>
    <w:rsid w:val="00816050"/>
    <w:rsid w:val="008165BB"/>
    <w:rsid w:val="00817239"/>
    <w:rsid w:val="00817567"/>
    <w:rsid w:val="00817CBB"/>
    <w:rsid w:val="00820A1C"/>
    <w:rsid w:val="00820BA6"/>
    <w:rsid w:val="00821670"/>
    <w:rsid w:val="00821ACA"/>
    <w:rsid w:val="00821DE4"/>
    <w:rsid w:val="00822128"/>
    <w:rsid w:val="008233E7"/>
    <w:rsid w:val="00823829"/>
    <w:rsid w:val="00823CEC"/>
    <w:rsid w:val="008242B1"/>
    <w:rsid w:val="0082448C"/>
    <w:rsid w:val="00825EFC"/>
    <w:rsid w:val="008278A8"/>
    <w:rsid w:val="00830FDA"/>
    <w:rsid w:val="00831995"/>
    <w:rsid w:val="00833118"/>
    <w:rsid w:val="00833D82"/>
    <w:rsid w:val="00833FFD"/>
    <w:rsid w:val="00834531"/>
    <w:rsid w:val="00834987"/>
    <w:rsid w:val="00835C11"/>
    <w:rsid w:val="00835F89"/>
    <w:rsid w:val="00836503"/>
    <w:rsid w:val="008409A7"/>
    <w:rsid w:val="00840DBA"/>
    <w:rsid w:val="00841784"/>
    <w:rsid w:val="00841DC7"/>
    <w:rsid w:val="00842383"/>
    <w:rsid w:val="00842848"/>
    <w:rsid w:val="0084317F"/>
    <w:rsid w:val="00843677"/>
    <w:rsid w:val="00843AC1"/>
    <w:rsid w:val="00844CF0"/>
    <w:rsid w:val="008454A1"/>
    <w:rsid w:val="008464FB"/>
    <w:rsid w:val="008465CF"/>
    <w:rsid w:val="00846654"/>
    <w:rsid w:val="00846F88"/>
    <w:rsid w:val="008477E4"/>
    <w:rsid w:val="0085092D"/>
    <w:rsid w:val="00850996"/>
    <w:rsid w:val="00850D15"/>
    <w:rsid w:val="0085176B"/>
    <w:rsid w:val="0085184E"/>
    <w:rsid w:val="00851FFE"/>
    <w:rsid w:val="008538FA"/>
    <w:rsid w:val="00853B22"/>
    <w:rsid w:val="00854019"/>
    <w:rsid w:val="008544EC"/>
    <w:rsid w:val="00854D7B"/>
    <w:rsid w:val="00855319"/>
    <w:rsid w:val="0085568B"/>
    <w:rsid w:val="0085572C"/>
    <w:rsid w:val="00855734"/>
    <w:rsid w:val="008569EC"/>
    <w:rsid w:val="00856EAA"/>
    <w:rsid w:val="0085704D"/>
    <w:rsid w:val="00857387"/>
    <w:rsid w:val="00857CD1"/>
    <w:rsid w:val="00857DEA"/>
    <w:rsid w:val="00857DEC"/>
    <w:rsid w:val="008602FF"/>
    <w:rsid w:val="00860C84"/>
    <w:rsid w:val="00860E24"/>
    <w:rsid w:val="00861233"/>
    <w:rsid w:val="008619C9"/>
    <w:rsid w:val="008633BB"/>
    <w:rsid w:val="00863717"/>
    <w:rsid w:val="00863D04"/>
    <w:rsid w:val="00863DF2"/>
    <w:rsid w:val="00863F95"/>
    <w:rsid w:val="00865C44"/>
    <w:rsid w:val="0086625C"/>
    <w:rsid w:val="00866D6D"/>
    <w:rsid w:val="00866DE8"/>
    <w:rsid w:val="00866E36"/>
    <w:rsid w:val="0086705D"/>
    <w:rsid w:val="008676D7"/>
    <w:rsid w:val="00870755"/>
    <w:rsid w:val="00870842"/>
    <w:rsid w:val="008708AA"/>
    <w:rsid w:val="00870EA7"/>
    <w:rsid w:val="008713FA"/>
    <w:rsid w:val="00872392"/>
    <w:rsid w:val="00873332"/>
    <w:rsid w:val="00874D34"/>
    <w:rsid w:val="00874E46"/>
    <w:rsid w:val="0087525C"/>
    <w:rsid w:val="0087651B"/>
    <w:rsid w:val="008769E0"/>
    <w:rsid w:val="0087751D"/>
    <w:rsid w:val="0087772E"/>
    <w:rsid w:val="00877857"/>
    <w:rsid w:val="00877872"/>
    <w:rsid w:val="0088113B"/>
    <w:rsid w:val="00881A5D"/>
    <w:rsid w:val="00881C93"/>
    <w:rsid w:val="0088222B"/>
    <w:rsid w:val="008829E6"/>
    <w:rsid w:val="00882BC9"/>
    <w:rsid w:val="0088338F"/>
    <w:rsid w:val="008837AB"/>
    <w:rsid w:val="0088402F"/>
    <w:rsid w:val="008843CA"/>
    <w:rsid w:val="0088504B"/>
    <w:rsid w:val="00885426"/>
    <w:rsid w:val="008855A6"/>
    <w:rsid w:val="00885CDA"/>
    <w:rsid w:val="0088668C"/>
    <w:rsid w:val="00886E10"/>
    <w:rsid w:val="008907F4"/>
    <w:rsid w:val="0089113C"/>
    <w:rsid w:val="00892070"/>
    <w:rsid w:val="00892112"/>
    <w:rsid w:val="00892485"/>
    <w:rsid w:val="00892A16"/>
    <w:rsid w:val="00892BB0"/>
    <w:rsid w:val="00894013"/>
    <w:rsid w:val="00894669"/>
    <w:rsid w:val="008950B2"/>
    <w:rsid w:val="00895A83"/>
    <w:rsid w:val="00895B40"/>
    <w:rsid w:val="00895E86"/>
    <w:rsid w:val="008979B5"/>
    <w:rsid w:val="00897BA4"/>
    <w:rsid w:val="00897C6B"/>
    <w:rsid w:val="00897D60"/>
    <w:rsid w:val="00897FA8"/>
    <w:rsid w:val="008A0FD3"/>
    <w:rsid w:val="008A14E0"/>
    <w:rsid w:val="008A1791"/>
    <w:rsid w:val="008A1FF0"/>
    <w:rsid w:val="008A2209"/>
    <w:rsid w:val="008A2379"/>
    <w:rsid w:val="008A2CF1"/>
    <w:rsid w:val="008A3061"/>
    <w:rsid w:val="008A45C6"/>
    <w:rsid w:val="008A4CDC"/>
    <w:rsid w:val="008A4DF9"/>
    <w:rsid w:val="008A51F7"/>
    <w:rsid w:val="008A5728"/>
    <w:rsid w:val="008A5A82"/>
    <w:rsid w:val="008A5D5B"/>
    <w:rsid w:val="008A5DA3"/>
    <w:rsid w:val="008A66C1"/>
    <w:rsid w:val="008A72B0"/>
    <w:rsid w:val="008A72D7"/>
    <w:rsid w:val="008A798D"/>
    <w:rsid w:val="008B04EF"/>
    <w:rsid w:val="008B04F4"/>
    <w:rsid w:val="008B0C9F"/>
    <w:rsid w:val="008B1F84"/>
    <w:rsid w:val="008B2178"/>
    <w:rsid w:val="008B21BC"/>
    <w:rsid w:val="008B31D7"/>
    <w:rsid w:val="008B3FC7"/>
    <w:rsid w:val="008B4402"/>
    <w:rsid w:val="008B51DE"/>
    <w:rsid w:val="008B5386"/>
    <w:rsid w:val="008B6A54"/>
    <w:rsid w:val="008B6B35"/>
    <w:rsid w:val="008B7376"/>
    <w:rsid w:val="008B757A"/>
    <w:rsid w:val="008B7861"/>
    <w:rsid w:val="008B7F84"/>
    <w:rsid w:val="008C005B"/>
    <w:rsid w:val="008C03E1"/>
    <w:rsid w:val="008C065B"/>
    <w:rsid w:val="008C09DA"/>
    <w:rsid w:val="008C1AFC"/>
    <w:rsid w:val="008C2E9E"/>
    <w:rsid w:val="008C39BF"/>
    <w:rsid w:val="008C3B08"/>
    <w:rsid w:val="008C6BD4"/>
    <w:rsid w:val="008C6CC9"/>
    <w:rsid w:val="008C77F5"/>
    <w:rsid w:val="008D085F"/>
    <w:rsid w:val="008D0DDA"/>
    <w:rsid w:val="008D217A"/>
    <w:rsid w:val="008D2361"/>
    <w:rsid w:val="008D2554"/>
    <w:rsid w:val="008D38B4"/>
    <w:rsid w:val="008D486F"/>
    <w:rsid w:val="008D4A1A"/>
    <w:rsid w:val="008D4DCA"/>
    <w:rsid w:val="008D50B2"/>
    <w:rsid w:val="008D55C3"/>
    <w:rsid w:val="008D618E"/>
    <w:rsid w:val="008D6460"/>
    <w:rsid w:val="008D6DBE"/>
    <w:rsid w:val="008D77BA"/>
    <w:rsid w:val="008D7F60"/>
    <w:rsid w:val="008E097E"/>
    <w:rsid w:val="008E0B2E"/>
    <w:rsid w:val="008E0DB4"/>
    <w:rsid w:val="008E0F99"/>
    <w:rsid w:val="008E0FAB"/>
    <w:rsid w:val="008E129F"/>
    <w:rsid w:val="008E1505"/>
    <w:rsid w:val="008E1571"/>
    <w:rsid w:val="008E1A11"/>
    <w:rsid w:val="008E1B0F"/>
    <w:rsid w:val="008E2318"/>
    <w:rsid w:val="008E28E4"/>
    <w:rsid w:val="008E2C3E"/>
    <w:rsid w:val="008E31B0"/>
    <w:rsid w:val="008E3492"/>
    <w:rsid w:val="008E46C0"/>
    <w:rsid w:val="008E5ACC"/>
    <w:rsid w:val="008E6838"/>
    <w:rsid w:val="008E698A"/>
    <w:rsid w:val="008E6F6C"/>
    <w:rsid w:val="008E73FF"/>
    <w:rsid w:val="008E749F"/>
    <w:rsid w:val="008E75BA"/>
    <w:rsid w:val="008E766F"/>
    <w:rsid w:val="008E77B1"/>
    <w:rsid w:val="008E7BCC"/>
    <w:rsid w:val="008F078B"/>
    <w:rsid w:val="008F0A11"/>
    <w:rsid w:val="008F1F9B"/>
    <w:rsid w:val="008F322E"/>
    <w:rsid w:val="008F40D7"/>
    <w:rsid w:val="008F46BB"/>
    <w:rsid w:val="008F47E4"/>
    <w:rsid w:val="008F513C"/>
    <w:rsid w:val="008F567A"/>
    <w:rsid w:val="008F7171"/>
    <w:rsid w:val="008F7AD3"/>
    <w:rsid w:val="008F7AF8"/>
    <w:rsid w:val="008F7F63"/>
    <w:rsid w:val="00900DAA"/>
    <w:rsid w:val="009013A3"/>
    <w:rsid w:val="009013E7"/>
    <w:rsid w:val="0090196A"/>
    <w:rsid w:val="00901E60"/>
    <w:rsid w:val="00902372"/>
    <w:rsid w:val="0090287C"/>
    <w:rsid w:val="009028C3"/>
    <w:rsid w:val="009033C0"/>
    <w:rsid w:val="00903FC2"/>
    <w:rsid w:val="00903FE9"/>
    <w:rsid w:val="0090449C"/>
    <w:rsid w:val="00904924"/>
    <w:rsid w:val="009057C5"/>
    <w:rsid w:val="00906429"/>
    <w:rsid w:val="00906610"/>
    <w:rsid w:val="00907B91"/>
    <w:rsid w:val="00907F47"/>
    <w:rsid w:val="00907F67"/>
    <w:rsid w:val="009100C4"/>
    <w:rsid w:val="00910CFA"/>
    <w:rsid w:val="0091147E"/>
    <w:rsid w:val="009115C4"/>
    <w:rsid w:val="009115D5"/>
    <w:rsid w:val="0091208F"/>
    <w:rsid w:val="00912335"/>
    <w:rsid w:val="009124A8"/>
    <w:rsid w:val="00912D4A"/>
    <w:rsid w:val="00913909"/>
    <w:rsid w:val="0091391F"/>
    <w:rsid w:val="00913CD2"/>
    <w:rsid w:val="00913CFA"/>
    <w:rsid w:val="009141C5"/>
    <w:rsid w:val="00915D18"/>
    <w:rsid w:val="009173EA"/>
    <w:rsid w:val="00917EE2"/>
    <w:rsid w:val="00920320"/>
    <w:rsid w:val="00921C72"/>
    <w:rsid w:val="0092249C"/>
    <w:rsid w:val="00922B5B"/>
    <w:rsid w:val="009245AB"/>
    <w:rsid w:val="009249A9"/>
    <w:rsid w:val="0093022A"/>
    <w:rsid w:val="00931D99"/>
    <w:rsid w:val="00933A57"/>
    <w:rsid w:val="00933B34"/>
    <w:rsid w:val="00934700"/>
    <w:rsid w:val="00934FAB"/>
    <w:rsid w:val="0093513A"/>
    <w:rsid w:val="00935480"/>
    <w:rsid w:val="009355B6"/>
    <w:rsid w:val="009356C7"/>
    <w:rsid w:val="00935858"/>
    <w:rsid w:val="00936006"/>
    <w:rsid w:val="0094009E"/>
    <w:rsid w:val="00940D19"/>
    <w:rsid w:val="0094121D"/>
    <w:rsid w:val="00941ABA"/>
    <w:rsid w:val="00941C71"/>
    <w:rsid w:val="00941E12"/>
    <w:rsid w:val="0094211B"/>
    <w:rsid w:val="0094290E"/>
    <w:rsid w:val="009429C0"/>
    <w:rsid w:val="00943295"/>
    <w:rsid w:val="009439D6"/>
    <w:rsid w:val="00943B7D"/>
    <w:rsid w:val="009440E8"/>
    <w:rsid w:val="0094443A"/>
    <w:rsid w:val="00944678"/>
    <w:rsid w:val="00944A15"/>
    <w:rsid w:val="00944C18"/>
    <w:rsid w:val="00946951"/>
    <w:rsid w:val="00946CBE"/>
    <w:rsid w:val="00950769"/>
    <w:rsid w:val="0095079C"/>
    <w:rsid w:val="0095107D"/>
    <w:rsid w:val="009510BC"/>
    <w:rsid w:val="00951297"/>
    <w:rsid w:val="009512CC"/>
    <w:rsid w:val="0095197D"/>
    <w:rsid w:val="00952870"/>
    <w:rsid w:val="00953AF0"/>
    <w:rsid w:val="00953E47"/>
    <w:rsid w:val="00954984"/>
    <w:rsid w:val="00954C56"/>
    <w:rsid w:val="00954F40"/>
    <w:rsid w:val="0095512B"/>
    <w:rsid w:val="009555CC"/>
    <w:rsid w:val="00955686"/>
    <w:rsid w:val="009567CB"/>
    <w:rsid w:val="009569FD"/>
    <w:rsid w:val="00960864"/>
    <w:rsid w:val="00960A3F"/>
    <w:rsid w:val="009613DA"/>
    <w:rsid w:val="009623A3"/>
    <w:rsid w:val="009625AD"/>
    <w:rsid w:val="0096295A"/>
    <w:rsid w:val="00962A47"/>
    <w:rsid w:val="00963BCD"/>
    <w:rsid w:val="009641E8"/>
    <w:rsid w:val="00964AC5"/>
    <w:rsid w:val="0096504E"/>
    <w:rsid w:val="0096567B"/>
    <w:rsid w:val="009658D7"/>
    <w:rsid w:val="00965976"/>
    <w:rsid w:val="00965C90"/>
    <w:rsid w:val="00970473"/>
    <w:rsid w:val="00970DB1"/>
    <w:rsid w:val="0097135F"/>
    <w:rsid w:val="00971566"/>
    <w:rsid w:val="009729F0"/>
    <w:rsid w:val="00972D0A"/>
    <w:rsid w:val="00973943"/>
    <w:rsid w:val="00974839"/>
    <w:rsid w:val="009753E9"/>
    <w:rsid w:val="009757E5"/>
    <w:rsid w:val="00975E5B"/>
    <w:rsid w:val="00976D44"/>
    <w:rsid w:val="009773B7"/>
    <w:rsid w:val="009776FB"/>
    <w:rsid w:val="00977795"/>
    <w:rsid w:val="009813C2"/>
    <w:rsid w:val="00981579"/>
    <w:rsid w:val="00981814"/>
    <w:rsid w:val="009818F9"/>
    <w:rsid w:val="009819BE"/>
    <w:rsid w:val="00981D6D"/>
    <w:rsid w:val="009827DC"/>
    <w:rsid w:val="00982E61"/>
    <w:rsid w:val="009834AC"/>
    <w:rsid w:val="009841FA"/>
    <w:rsid w:val="009846F8"/>
    <w:rsid w:val="0098488E"/>
    <w:rsid w:val="00984BBE"/>
    <w:rsid w:val="00984FB5"/>
    <w:rsid w:val="009878E9"/>
    <w:rsid w:val="00990024"/>
    <w:rsid w:val="00990B6C"/>
    <w:rsid w:val="009911FB"/>
    <w:rsid w:val="0099142D"/>
    <w:rsid w:val="00991651"/>
    <w:rsid w:val="00991E04"/>
    <w:rsid w:val="00991FF5"/>
    <w:rsid w:val="00992C32"/>
    <w:rsid w:val="00993482"/>
    <w:rsid w:val="0099407A"/>
    <w:rsid w:val="00994847"/>
    <w:rsid w:val="00994FEB"/>
    <w:rsid w:val="009956AF"/>
    <w:rsid w:val="00996F0D"/>
    <w:rsid w:val="009976F8"/>
    <w:rsid w:val="00997AE4"/>
    <w:rsid w:val="00997BDA"/>
    <w:rsid w:val="009A0077"/>
    <w:rsid w:val="009A0646"/>
    <w:rsid w:val="009A0D3F"/>
    <w:rsid w:val="009A2254"/>
    <w:rsid w:val="009A2772"/>
    <w:rsid w:val="009A28D3"/>
    <w:rsid w:val="009A294C"/>
    <w:rsid w:val="009A307E"/>
    <w:rsid w:val="009A30B3"/>
    <w:rsid w:val="009A39E5"/>
    <w:rsid w:val="009A3DFF"/>
    <w:rsid w:val="009A4467"/>
    <w:rsid w:val="009A4791"/>
    <w:rsid w:val="009A4D0D"/>
    <w:rsid w:val="009A4D42"/>
    <w:rsid w:val="009A505A"/>
    <w:rsid w:val="009A53C4"/>
    <w:rsid w:val="009A5627"/>
    <w:rsid w:val="009A5B08"/>
    <w:rsid w:val="009A5D16"/>
    <w:rsid w:val="009A5F41"/>
    <w:rsid w:val="009A69FD"/>
    <w:rsid w:val="009A6B75"/>
    <w:rsid w:val="009B025D"/>
    <w:rsid w:val="009B0274"/>
    <w:rsid w:val="009B089C"/>
    <w:rsid w:val="009B0D8D"/>
    <w:rsid w:val="009B2011"/>
    <w:rsid w:val="009B2213"/>
    <w:rsid w:val="009B2796"/>
    <w:rsid w:val="009B2E40"/>
    <w:rsid w:val="009B4ED1"/>
    <w:rsid w:val="009B4F9D"/>
    <w:rsid w:val="009B63A3"/>
    <w:rsid w:val="009B6666"/>
    <w:rsid w:val="009B6974"/>
    <w:rsid w:val="009B6AAA"/>
    <w:rsid w:val="009B6C2F"/>
    <w:rsid w:val="009B6D8E"/>
    <w:rsid w:val="009B70AD"/>
    <w:rsid w:val="009B71FF"/>
    <w:rsid w:val="009B7448"/>
    <w:rsid w:val="009B75BE"/>
    <w:rsid w:val="009B75FE"/>
    <w:rsid w:val="009B7835"/>
    <w:rsid w:val="009B7CC2"/>
    <w:rsid w:val="009C0678"/>
    <w:rsid w:val="009C090C"/>
    <w:rsid w:val="009C0EAD"/>
    <w:rsid w:val="009C11B3"/>
    <w:rsid w:val="009C1313"/>
    <w:rsid w:val="009C1626"/>
    <w:rsid w:val="009C1A34"/>
    <w:rsid w:val="009C1F38"/>
    <w:rsid w:val="009C2BE2"/>
    <w:rsid w:val="009C395B"/>
    <w:rsid w:val="009C48D0"/>
    <w:rsid w:val="009C49C7"/>
    <w:rsid w:val="009C4C7B"/>
    <w:rsid w:val="009C5308"/>
    <w:rsid w:val="009C56E0"/>
    <w:rsid w:val="009C5A7C"/>
    <w:rsid w:val="009C6971"/>
    <w:rsid w:val="009C7B7E"/>
    <w:rsid w:val="009D0061"/>
    <w:rsid w:val="009D04EE"/>
    <w:rsid w:val="009D121F"/>
    <w:rsid w:val="009D1660"/>
    <w:rsid w:val="009D1B41"/>
    <w:rsid w:val="009D1C7D"/>
    <w:rsid w:val="009D1DF5"/>
    <w:rsid w:val="009D33CB"/>
    <w:rsid w:val="009D34C6"/>
    <w:rsid w:val="009D4AB4"/>
    <w:rsid w:val="009D4C97"/>
    <w:rsid w:val="009D5560"/>
    <w:rsid w:val="009D65C8"/>
    <w:rsid w:val="009D66E9"/>
    <w:rsid w:val="009D7FDC"/>
    <w:rsid w:val="009E05BC"/>
    <w:rsid w:val="009E0721"/>
    <w:rsid w:val="009E18F0"/>
    <w:rsid w:val="009E1C3C"/>
    <w:rsid w:val="009E34E2"/>
    <w:rsid w:val="009E3FEF"/>
    <w:rsid w:val="009E54EB"/>
    <w:rsid w:val="009E6A42"/>
    <w:rsid w:val="009E7506"/>
    <w:rsid w:val="009E7AC2"/>
    <w:rsid w:val="009E7DA4"/>
    <w:rsid w:val="009F0AFD"/>
    <w:rsid w:val="009F0BC9"/>
    <w:rsid w:val="009F1011"/>
    <w:rsid w:val="009F24BA"/>
    <w:rsid w:val="009F267D"/>
    <w:rsid w:val="009F315B"/>
    <w:rsid w:val="009F4303"/>
    <w:rsid w:val="009F45C8"/>
    <w:rsid w:val="009F5DC1"/>
    <w:rsid w:val="009F6C68"/>
    <w:rsid w:val="009F6DE9"/>
    <w:rsid w:val="009F7076"/>
    <w:rsid w:val="00A00B0D"/>
    <w:rsid w:val="00A01650"/>
    <w:rsid w:val="00A01CAD"/>
    <w:rsid w:val="00A01D6D"/>
    <w:rsid w:val="00A01DF4"/>
    <w:rsid w:val="00A0250C"/>
    <w:rsid w:val="00A0491C"/>
    <w:rsid w:val="00A04E66"/>
    <w:rsid w:val="00A06424"/>
    <w:rsid w:val="00A06666"/>
    <w:rsid w:val="00A06C17"/>
    <w:rsid w:val="00A06D2C"/>
    <w:rsid w:val="00A10378"/>
    <w:rsid w:val="00A1088E"/>
    <w:rsid w:val="00A108C4"/>
    <w:rsid w:val="00A10D44"/>
    <w:rsid w:val="00A11664"/>
    <w:rsid w:val="00A11D8C"/>
    <w:rsid w:val="00A133D3"/>
    <w:rsid w:val="00A13DB2"/>
    <w:rsid w:val="00A13DCA"/>
    <w:rsid w:val="00A13E14"/>
    <w:rsid w:val="00A13FB3"/>
    <w:rsid w:val="00A143D8"/>
    <w:rsid w:val="00A1464D"/>
    <w:rsid w:val="00A14745"/>
    <w:rsid w:val="00A147A6"/>
    <w:rsid w:val="00A156CB"/>
    <w:rsid w:val="00A16C8A"/>
    <w:rsid w:val="00A172B8"/>
    <w:rsid w:val="00A178A0"/>
    <w:rsid w:val="00A17B0F"/>
    <w:rsid w:val="00A20AAE"/>
    <w:rsid w:val="00A20C5B"/>
    <w:rsid w:val="00A21A29"/>
    <w:rsid w:val="00A2370A"/>
    <w:rsid w:val="00A23A61"/>
    <w:rsid w:val="00A23C9B"/>
    <w:rsid w:val="00A24882"/>
    <w:rsid w:val="00A24A9E"/>
    <w:rsid w:val="00A24E88"/>
    <w:rsid w:val="00A24EFE"/>
    <w:rsid w:val="00A2551D"/>
    <w:rsid w:val="00A258C8"/>
    <w:rsid w:val="00A25D3F"/>
    <w:rsid w:val="00A25EFF"/>
    <w:rsid w:val="00A262B3"/>
    <w:rsid w:val="00A26F8C"/>
    <w:rsid w:val="00A2715B"/>
    <w:rsid w:val="00A271DD"/>
    <w:rsid w:val="00A27AC8"/>
    <w:rsid w:val="00A27C5D"/>
    <w:rsid w:val="00A27D64"/>
    <w:rsid w:val="00A27E93"/>
    <w:rsid w:val="00A30A9D"/>
    <w:rsid w:val="00A30B89"/>
    <w:rsid w:val="00A30F4E"/>
    <w:rsid w:val="00A3196B"/>
    <w:rsid w:val="00A31CB2"/>
    <w:rsid w:val="00A31F97"/>
    <w:rsid w:val="00A32AAF"/>
    <w:rsid w:val="00A32D0E"/>
    <w:rsid w:val="00A33E3D"/>
    <w:rsid w:val="00A34CF6"/>
    <w:rsid w:val="00A361E8"/>
    <w:rsid w:val="00A364BD"/>
    <w:rsid w:val="00A36AAB"/>
    <w:rsid w:val="00A4168F"/>
    <w:rsid w:val="00A4187D"/>
    <w:rsid w:val="00A4279B"/>
    <w:rsid w:val="00A427E6"/>
    <w:rsid w:val="00A42EC5"/>
    <w:rsid w:val="00A4407A"/>
    <w:rsid w:val="00A4515E"/>
    <w:rsid w:val="00A45E69"/>
    <w:rsid w:val="00A45FE4"/>
    <w:rsid w:val="00A46AA0"/>
    <w:rsid w:val="00A47205"/>
    <w:rsid w:val="00A47F9C"/>
    <w:rsid w:val="00A50D0B"/>
    <w:rsid w:val="00A51166"/>
    <w:rsid w:val="00A5118A"/>
    <w:rsid w:val="00A5134A"/>
    <w:rsid w:val="00A517B8"/>
    <w:rsid w:val="00A51A7C"/>
    <w:rsid w:val="00A51BF5"/>
    <w:rsid w:val="00A52398"/>
    <w:rsid w:val="00A528F6"/>
    <w:rsid w:val="00A52A06"/>
    <w:rsid w:val="00A53CAC"/>
    <w:rsid w:val="00A54328"/>
    <w:rsid w:val="00A54C26"/>
    <w:rsid w:val="00A56E0E"/>
    <w:rsid w:val="00A5752E"/>
    <w:rsid w:val="00A600D9"/>
    <w:rsid w:val="00A60518"/>
    <w:rsid w:val="00A607C2"/>
    <w:rsid w:val="00A60C06"/>
    <w:rsid w:val="00A60CDB"/>
    <w:rsid w:val="00A61756"/>
    <w:rsid w:val="00A61D9D"/>
    <w:rsid w:val="00A6355D"/>
    <w:rsid w:val="00A63F7B"/>
    <w:rsid w:val="00A6458C"/>
    <w:rsid w:val="00A64916"/>
    <w:rsid w:val="00A64989"/>
    <w:rsid w:val="00A64B38"/>
    <w:rsid w:val="00A64B7B"/>
    <w:rsid w:val="00A65D03"/>
    <w:rsid w:val="00A65D39"/>
    <w:rsid w:val="00A662D2"/>
    <w:rsid w:val="00A66D43"/>
    <w:rsid w:val="00A670D2"/>
    <w:rsid w:val="00A67B63"/>
    <w:rsid w:val="00A67CD4"/>
    <w:rsid w:val="00A70AF6"/>
    <w:rsid w:val="00A70C5B"/>
    <w:rsid w:val="00A70DEE"/>
    <w:rsid w:val="00A70ED3"/>
    <w:rsid w:val="00A71082"/>
    <w:rsid w:val="00A71228"/>
    <w:rsid w:val="00A7146F"/>
    <w:rsid w:val="00A72534"/>
    <w:rsid w:val="00A73608"/>
    <w:rsid w:val="00A7420E"/>
    <w:rsid w:val="00A75AE4"/>
    <w:rsid w:val="00A75FA2"/>
    <w:rsid w:val="00A7608D"/>
    <w:rsid w:val="00A7689C"/>
    <w:rsid w:val="00A76FE8"/>
    <w:rsid w:val="00A778EF"/>
    <w:rsid w:val="00A80B77"/>
    <w:rsid w:val="00A81140"/>
    <w:rsid w:val="00A81C16"/>
    <w:rsid w:val="00A82426"/>
    <w:rsid w:val="00A82C4A"/>
    <w:rsid w:val="00A83292"/>
    <w:rsid w:val="00A832AE"/>
    <w:rsid w:val="00A83B05"/>
    <w:rsid w:val="00A83EE4"/>
    <w:rsid w:val="00A84DB6"/>
    <w:rsid w:val="00A85397"/>
    <w:rsid w:val="00A85AA9"/>
    <w:rsid w:val="00A85C18"/>
    <w:rsid w:val="00A86D0A"/>
    <w:rsid w:val="00A86FC6"/>
    <w:rsid w:val="00A90B8B"/>
    <w:rsid w:val="00A90ED4"/>
    <w:rsid w:val="00A90EFC"/>
    <w:rsid w:val="00A91ADB"/>
    <w:rsid w:val="00A925B9"/>
    <w:rsid w:val="00A93DCA"/>
    <w:rsid w:val="00A93EE4"/>
    <w:rsid w:val="00A94341"/>
    <w:rsid w:val="00A94AA5"/>
    <w:rsid w:val="00A94DF7"/>
    <w:rsid w:val="00A95172"/>
    <w:rsid w:val="00A955F1"/>
    <w:rsid w:val="00A95DC5"/>
    <w:rsid w:val="00A96BFE"/>
    <w:rsid w:val="00A96EF9"/>
    <w:rsid w:val="00AA03A0"/>
    <w:rsid w:val="00AA04FA"/>
    <w:rsid w:val="00AA2043"/>
    <w:rsid w:val="00AA22BA"/>
    <w:rsid w:val="00AA2DBF"/>
    <w:rsid w:val="00AA2F7A"/>
    <w:rsid w:val="00AA4221"/>
    <w:rsid w:val="00AA43FF"/>
    <w:rsid w:val="00AA47B1"/>
    <w:rsid w:val="00AA4E81"/>
    <w:rsid w:val="00AA5686"/>
    <w:rsid w:val="00AA5B87"/>
    <w:rsid w:val="00AA6665"/>
    <w:rsid w:val="00AB1BF1"/>
    <w:rsid w:val="00AB3EFD"/>
    <w:rsid w:val="00AB4B52"/>
    <w:rsid w:val="00AB5935"/>
    <w:rsid w:val="00AB63AF"/>
    <w:rsid w:val="00AB66F7"/>
    <w:rsid w:val="00AB6A64"/>
    <w:rsid w:val="00AB722D"/>
    <w:rsid w:val="00AB7654"/>
    <w:rsid w:val="00AC1186"/>
    <w:rsid w:val="00AC1E80"/>
    <w:rsid w:val="00AC1F1D"/>
    <w:rsid w:val="00AC2019"/>
    <w:rsid w:val="00AC2C93"/>
    <w:rsid w:val="00AC338F"/>
    <w:rsid w:val="00AC3E94"/>
    <w:rsid w:val="00AC4144"/>
    <w:rsid w:val="00AC4FC8"/>
    <w:rsid w:val="00AC4FF1"/>
    <w:rsid w:val="00AC5A13"/>
    <w:rsid w:val="00AC6B38"/>
    <w:rsid w:val="00AC6E6B"/>
    <w:rsid w:val="00AD0730"/>
    <w:rsid w:val="00AD09FC"/>
    <w:rsid w:val="00AD0B25"/>
    <w:rsid w:val="00AD0C44"/>
    <w:rsid w:val="00AD115F"/>
    <w:rsid w:val="00AD1923"/>
    <w:rsid w:val="00AD1C47"/>
    <w:rsid w:val="00AD38F0"/>
    <w:rsid w:val="00AD5201"/>
    <w:rsid w:val="00AD59A1"/>
    <w:rsid w:val="00AD5A0D"/>
    <w:rsid w:val="00AD6E31"/>
    <w:rsid w:val="00AD7358"/>
    <w:rsid w:val="00AD77CF"/>
    <w:rsid w:val="00AD7E0C"/>
    <w:rsid w:val="00AE0614"/>
    <w:rsid w:val="00AE0B9D"/>
    <w:rsid w:val="00AE1286"/>
    <w:rsid w:val="00AE15E1"/>
    <w:rsid w:val="00AE1640"/>
    <w:rsid w:val="00AE195A"/>
    <w:rsid w:val="00AE23E4"/>
    <w:rsid w:val="00AE2C5B"/>
    <w:rsid w:val="00AE2D43"/>
    <w:rsid w:val="00AE4D73"/>
    <w:rsid w:val="00AE6084"/>
    <w:rsid w:val="00AE67A3"/>
    <w:rsid w:val="00AE7340"/>
    <w:rsid w:val="00AE740F"/>
    <w:rsid w:val="00AE7C7C"/>
    <w:rsid w:val="00AF0339"/>
    <w:rsid w:val="00AF1B38"/>
    <w:rsid w:val="00AF2906"/>
    <w:rsid w:val="00AF2A89"/>
    <w:rsid w:val="00AF2CE5"/>
    <w:rsid w:val="00AF33D3"/>
    <w:rsid w:val="00AF3D8D"/>
    <w:rsid w:val="00AF4795"/>
    <w:rsid w:val="00AF4B10"/>
    <w:rsid w:val="00AF4F03"/>
    <w:rsid w:val="00AF5268"/>
    <w:rsid w:val="00AF5E12"/>
    <w:rsid w:val="00AF61FE"/>
    <w:rsid w:val="00AF65AB"/>
    <w:rsid w:val="00AF6E78"/>
    <w:rsid w:val="00AF6F16"/>
    <w:rsid w:val="00AF7AFE"/>
    <w:rsid w:val="00AF7CAB"/>
    <w:rsid w:val="00AF7DDE"/>
    <w:rsid w:val="00AF7E02"/>
    <w:rsid w:val="00B00136"/>
    <w:rsid w:val="00B00DEA"/>
    <w:rsid w:val="00B018AA"/>
    <w:rsid w:val="00B022E8"/>
    <w:rsid w:val="00B02A8A"/>
    <w:rsid w:val="00B02EAE"/>
    <w:rsid w:val="00B036E9"/>
    <w:rsid w:val="00B038CF"/>
    <w:rsid w:val="00B03B1F"/>
    <w:rsid w:val="00B03C48"/>
    <w:rsid w:val="00B054F3"/>
    <w:rsid w:val="00B07683"/>
    <w:rsid w:val="00B07B07"/>
    <w:rsid w:val="00B07DC3"/>
    <w:rsid w:val="00B10466"/>
    <w:rsid w:val="00B106C2"/>
    <w:rsid w:val="00B107C4"/>
    <w:rsid w:val="00B11F69"/>
    <w:rsid w:val="00B120D2"/>
    <w:rsid w:val="00B121C1"/>
    <w:rsid w:val="00B136FC"/>
    <w:rsid w:val="00B138BD"/>
    <w:rsid w:val="00B13C22"/>
    <w:rsid w:val="00B13E0E"/>
    <w:rsid w:val="00B13FED"/>
    <w:rsid w:val="00B14F54"/>
    <w:rsid w:val="00B15478"/>
    <w:rsid w:val="00B15A3F"/>
    <w:rsid w:val="00B15A65"/>
    <w:rsid w:val="00B1601C"/>
    <w:rsid w:val="00B1682B"/>
    <w:rsid w:val="00B16E81"/>
    <w:rsid w:val="00B17B44"/>
    <w:rsid w:val="00B17BC0"/>
    <w:rsid w:val="00B17F25"/>
    <w:rsid w:val="00B201C6"/>
    <w:rsid w:val="00B20BB4"/>
    <w:rsid w:val="00B20CC7"/>
    <w:rsid w:val="00B22943"/>
    <w:rsid w:val="00B22E87"/>
    <w:rsid w:val="00B22F45"/>
    <w:rsid w:val="00B23586"/>
    <w:rsid w:val="00B240A7"/>
    <w:rsid w:val="00B2418B"/>
    <w:rsid w:val="00B246CC"/>
    <w:rsid w:val="00B247C5"/>
    <w:rsid w:val="00B2600A"/>
    <w:rsid w:val="00B2740B"/>
    <w:rsid w:val="00B303F8"/>
    <w:rsid w:val="00B30DE3"/>
    <w:rsid w:val="00B311B6"/>
    <w:rsid w:val="00B32194"/>
    <w:rsid w:val="00B325C9"/>
    <w:rsid w:val="00B32623"/>
    <w:rsid w:val="00B328FB"/>
    <w:rsid w:val="00B33102"/>
    <w:rsid w:val="00B3329D"/>
    <w:rsid w:val="00B3563D"/>
    <w:rsid w:val="00B36751"/>
    <w:rsid w:val="00B37323"/>
    <w:rsid w:val="00B37373"/>
    <w:rsid w:val="00B37DA2"/>
    <w:rsid w:val="00B37FCC"/>
    <w:rsid w:val="00B400C0"/>
    <w:rsid w:val="00B404D0"/>
    <w:rsid w:val="00B410D7"/>
    <w:rsid w:val="00B412D1"/>
    <w:rsid w:val="00B43379"/>
    <w:rsid w:val="00B444D0"/>
    <w:rsid w:val="00B44FE7"/>
    <w:rsid w:val="00B451A7"/>
    <w:rsid w:val="00B4549E"/>
    <w:rsid w:val="00B46B01"/>
    <w:rsid w:val="00B46B2A"/>
    <w:rsid w:val="00B4761E"/>
    <w:rsid w:val="00B47D72"/>
    <w:rsid w:val="00B47F91"/>
    <w:rsid w:val="00B5035D"/>
    <w:rsid w:val="00B50A0E"/>
    <w:rsid w:val="00B50D5D"/>
    <w:rsid w:val="00B51491"/>
    <w:rsid w:val="00B51ADB"/>
    <w:rsid w:val="00B51C6C"/>
    <w:rsid w:val="00B52AA3"/>
    <w:rsid w:val="00B52BB0"/>
    <w:rsid w:val="00B53ED8"/>
    <w:rsid w:val="00B53F67"/>
    <w:rsid w:val="00B54A1E"/>
    <w:rsid w:val="00B5552C"/>
    <w:rsid w:val="00B5636B"/>
    <w:rsid w:val="00B60357"/>
    <w:rsid w:val="00B607D9"/>
    <w:rsid w:val="00B611B6"/>
    <w:rsid w:val="00B6156C"/>
    <w:rsid w:val="00B61B2D"/>
    <w:rsid w:val="00B62614"/>
    <w:rsid w:val="00B62F58"/>
    <w:rsid w:val="00B636C9"/>
    <w:rsid w:val="00B6418E"/>
    <w:rsid w:val="00B64A4F"/>
    <w:rsid w:val="00B655B3"/>
    <w:rsid w:val="00B657B8"/>
    <w:rsid w:val="00B65FFC"/>
    <w:rsid w:val="00B665F6"/>
    <w:rsid w:val="00B667F0"/>
    <w:rsid w:val="00B669F5"/>
    <w:rsid w:val="00B673A4"/>
    <w:rsid w:val="00B67C4C"/>
    <w:rsid w:val="00B700FF"/>
    <w:rsid w:val="00B70437"/>
    <w:rsid w:val="00B7051A"/>
    <w:rsid w:val="00B70D31"/>
    <w:rsid w:val="00B70F05"/>
    <w:rsid w:val="00B70F82"/>
    <w:rsid w:val="00B7100D"/>
    <w:rsid w:val="00B71083"/>
    <w:rsid w:val="00B71768"/>
    <w:rsid w:val="00B71A2D"/>
    <w:rsid w:val="00B7224A"/>
    <w:rsid w:val="00B7266A"/>
    <w:rsid w:val="00B72DDE"/>
    <w:rsid w:val="00B73940"/>
    <w:rsid w:val="00B746CA"/>
    <w:rsid w:val="00B74D3A"/>
    <w:rsid w:val="00B75B36"/>
    <w:rsid w:val="00B765B7"/>
    <w:rsid w:val="00B76B1F"/>
    <w:rsid w:val="00B76C27"/>
    <w:rsid w:val="00B76F86"/>
    <w:rsid w:val="00B7712E"/>
    <w:rsid w:val="00B7782A"/>
    <w:rsid w:val="00B778F8"/>
    <w:rsid w:val="00B80274"/>
    <w:rsid w:val="00B80A3F"/>
    <w:rsid w:val="00B8385D"/>
    <w:rsid w:val="00B83FCD"/>
    <w:rsid w:val="00B843B2"/>
    <w:rsid w:val="00B861BA"/>
    <w:rsid w:val="00B861E8"/>
    <w:rsid w:val="00B862F2"/>
    <w:rsid w:val="00B86A65"/>
    <w:rsid w:val="00B872FF"/>
    <w:rsid w:val="00B87AEB"/>
    <w:rsid w:val="00B87C3E"/>
    <w:rsid w:val="00B9084A"/>
    <w:rsid w:val="00B90B58"/>
    <w:rsid w:val="00B9108A"/>
    <w:rsid w:val="00B91091"/>
    <w:rsid w:val="00B91382"/>
    <w:rsid w:val="00B931EC"/>
    <w:rsid w:val="00B93D08"/>
    <w:rsid w:val="00B942F3"/>
    <w:rsid w:val="00B945FC"/>
    <w:rsid w:val="00B952DC"/>
    <w:rsid w:val="00B96850"/>
    <w:rsid w:val="00B9692A"/>
    <w:rsid w:val="00B969C2"/>
    <w:rsid w:val="00B97702"/>
    <w:rsid w:val="00B978B8"/>
    <w:rsid w:val="00B97FC2"/>
    <w:rsid w:val="00BA0CA2"/>
    <w:rsid w:val="00BA1B5C"/>
    <w:rsid w:val="00BA37BD"/>
    <w:rsid w:val="00BA39AA"/>
    <w:rsid w:val="00BA5656"/>
    <w:rsid w:val="00BA5AA7"/>
    <w:rsid w:val="00BA648F"/>
    <w:rsid w:val="00BA6C73"/>
    <w:rsid w:val="00BA6D86"/>
    <w:rsid w:val="00BA7408"/>
    <w:rsid w:val="00BA7A2B"/>
    <w:rsid w:val="00BA7DCA"/>
    <w:rsid w:val="00BB01E6"/>
    <w:rsid w:val="00BB05B2"/>
    <w:rsid w:val="00BB09D2"/>
    <w:rsid w:val="00BB0C0A"/>
    <w:rsid w:val="00BB1149"/>
    <w:rsid w:val="00BB1E66"/>
    <w:rsid w:val="00BB1F6F"/>
    <w:rsid w:val="00BB20D3"/>
    <w:rsid w:val="00BB2A53"/>
    <w:rsid w:val="00BB2CBA"/>
    <w:rsid w:val="00BB2D30"/>
    <w:rsid w:val="00BB2E6C"/>
    <w:rsid w:val="00BB303A"/>
    <w:rsid w:val="00BB41C6"/>
    <w:rsid w:val="00BB4292"/>
    <w:rsid w:val="00BB4808"/>
    <w:rsid w:val="00BB505F"/>
    <w:rsid w:val="00BB5146"/>
    <w:rsid w:val="00BB57A0"/>
    <w:rsid w:val="00BB57B4"/>
    <w:rsid w:val="00BB6663"/>
    <w:rsid w:val="00BB7924"/>
    <w:rsid w:val="00BB7E51"/>
    <w:rsid w:val="00BC1258"/>
    <w:rsid w:val="00BC1807"/>
    <w:rsid w:val="00BC1C9F"/>
    <w:rsid w:val="00BC2DCC"/>
    <w:rsid w:val="00BC388F"/>
    <w:rsid w:val="00BC3D82"/>
    <w:rsid w:val="00BC426B"/>
    <w:rsid w:val="00BC43D9"/>
    <w:rsid w:val="00BC441A"/>
    <w:rsid w:val="00BC48D8"/>
    <w:rsid w:val="00BC5ABF"/>
    <w:rsid w:val="00BC5E7D"/>
    <w:rsid w:val="00BC60C9"/>
    <w:rsid w:val="00BC74FC"/>
    <w:rsid w:val="00BC7816"/>
    <w:rsid w:val="00BD02AA"/>
    <w:rsid w:val="00BD0859"/>
    <w:rsid w:val="00BD1CE4"/>
    <w:rsid w:val="00BD294E"/>
    <w:rsid w:val="00BD2968"/>
    <w:rsid w:val="00BD2CD3"/>
    <w:rsid w:val="00BD2DE5"/>
    <w:rsid w:val="00BD3CB4"/>
    <w:rsid w:val="00BD4AC6"/>
    <w:rsid w:val="00BD4AF8"/>
    <w:rsid w:val="00BD66D2"/>
    <w:rsid w:val="00BD689E"/>
    <w:rsid w:val="00BD6B75"/>
    <w:rsid w:val="00BD6F72"/>
    <w:rsid w:val="00BD7808"/>
    <w:rsid w:val="00BD7B85"/>
    <w:rsid w:val="00BE157A"/>
    <w:rsid w:val="00BE1B01"/>
    <w:rsid w:val="00BE22BE"/>
    <w:rsid w:val="00BE2669"/>
    <w:rsid w:val="00BE2C01"/>
    <w:rsid w:val="00BE44D1"/>
    <w:rsid w:val="00BE51EE"/>
    <w:rsid w:val="00BE5275"/>
    <w:rsid w:val="00BE6CA6"/>
    <w:rsid w:val="00BE6FB6"/>
    <w:rsid w:val="00BE780D"/>
    <w:rsid w:val="00BF05D3"/>
    <w:rsid w:val="00BF0FBD"/>
    <w:rsid w:val="00BF10B1"/>
    <w:rsid w:val="00BF19DA"/>
    <w:rsid w:val="00BF28E2"/>
    <w:rsid w:val="00BF30A5"/>
    <w:rsid w:val="00BF3D63"/>
    <w:rsid w:val="00BF4876"/>
    <w:rsid w:val="00BF4F89"/>
    <w:rsid w:val="00BF545B"/>
    <w:rsid w:val="00BF5554"/>
    <w:rsid w:val="00BF5763"/>
    <w:rsid w:val="00BF6CB5"/>
    <w:rsid w:val="00BF741C"/>
    <w:rsid w:val="00BF75A2"/>
    <w:rsid w:val="00BF7CFD"/>
    <w:rsid w:val="00C000B5"/>
    <w:rsid w:val="00C00647"/>
    <w:rsid w:val="00C00692"/>
    <w:rsid w:val="00C00C9C"/>
    <w:rsid w:val="00C018E3"/>
    <w:rsid w:val="00C02202"/>
    <w:rsid w:val="00C0244C"/>
    <w:rsid w:val="00C02A23"/>
    <w:rsid w:val="00C035E7"/>
    <w:rsid w:val="00C03814"/>
    <w:rsid w:val="00C04624"/>
    <w:rsid w:val="00C04873"/>
    <w:rsid w:val="00C049CF"/>
    <w:rsid w:val="00C04A98"/>
    <w:rsid w:val="00C04CB5"/>
    <w:rsid w:val="00C04D40"/>
    <w:rsid w:val="00C054EB"/>
    <w:rsid w:val="00C059A1"/>
    <w:rsid w:val="00C05A57"/>
    <w:rsid w:val="00C05C5E"/>
    <w:rsid w:val="00C078B5"/>
    <w:rsid w:val="00C07AD2"/>
    <w:rsid w:val="00C10183"/>
    <w:rsid w:val="00C108BD"/>
    <w:rsid w:val="00C11026"/>
    <w:rsid w:val="00C11BEE"/>
    <w:rsid w:val="00C1227F"/>
    <w:rsid w:val="00C128B3"/>
    <w:rsid w:val="00C12B83"/>
    <w:rsid w:val="00C140AA"/>
    <w:rsid w:val="00C14D23"/>
    <w:rsid w:val="00C14F70"/>
    <w:rsid w:val="00C15335"/>
    <w:rsid w:val="00C1549D"/>
    <w:rsid w:val="00C15A1D"/>
    <w:rsid w:val="00C16505"/>
    <w:rsid w:val="00C172B8"/>
    <w:rsid w:val="00C17459"/>
    <w:rsid w:val="00C17542"/>
    <w:rsid w:val="00C177CC"/>
    <w:rsid w:val="00C17975"/>
    <w:rsid w:val="00C17F0A"/>
    <w:rsid w:val="00C17FA7"/>
    <w:rsid w:val="00C2057F"/>
    <w:rsid w:val="00C207D9"/>
    <w:rsid w:val="00C209B0"/>
    <w:rsid w:val="00C20BCD"/>
    <w:rsid w:val="00C20DEB"/>
    <w:rsid w:val="00C212A8"/>
    <w:rsid w:val="00C21466"/>
    <w:rsid w:val="00C219AA"/>
    <w:rsid w:val="00C21A4A"/>
    <w:rsid w:val="00C2275E"/>
    <w:rsid w:val="00C22D9E"/>
    <w:rsid w:val="00C22DF1"/>
    <w:rsid w:val="00C22FE8"/>
    <w:rsid w:val="00C235CE"/>
    <w:rsid w:val="00C245DF"/>
    <w:rsid w:val="00C24856"/>
    <w:rsid w:val="00C249C1"/>
    <w:rsid w:val="00C25F80"/>
    <w:rsid w:val="00C26D6A"/>
    <w:rsid w:val="00C27428"/>
    <w:rsid w:val="00C303FD"/>
    <w:rsid w:val="00C310BC"/>
    <w:rsid w:val="00C31FB4"/>
    <w:rsid w:val="00C3226A"/>
    <w:rsid w:val="00C32398"/>
    <w:rsid w:val="00C336FA"/>
    <w:rsid w:val="00C33769"/>
    <w:rsid w:val="00C33B95"/>
    <w:rsid w:val="00C33BE5"/>
    <w:rsid w:val="00C34F1A"/>
    <w:rsid w:val="00C34F5E"/>
    <w:rsid w:val="00C35618"/>
    <w:rsid w:val="00C35A8B"/>
    <w:rsid w:val="00C36449"/>
    <w:rsid w:val="00C3680A"/>
    <w:rsid w:val="00C36923"/>
    <w:rsid w:val="00C36982"/>
    <w:rsid w:val="00C379DB"/>
    <w:rsid w:val="00C37A39"/>
    <w:rsid w:val="00C37EFC"/>
    <w:rsid w:val="00C40B61"/>
    <w:rsid w:val="00C41633"/>
    <w:rsid w:val="00C42098"/>
    <w:rsid w:val="00C426AE"/>
    <w:rsid w:val="00C43112"/>
    <w:rsid w:val="00C43215"/>
    <w:rsid w:val="00C433AD"/>
    <w:rsid w:val="00C44E64"/>
    <w:rsid w:val="00C45BFA"/>
    <w:rsid w:val="00C47349"/>
    <w:rsid w:val="00C475BF"/>
    <w:rsid w:val="00C4791D"/>
    <w:rsid w:val="00C503A3"/>
    <w:rsid w:val="00C50509"/>
    <w:rsid w:val="00C508C0"/>
    <w:rsid w:val="00C509F3"/>
    <w:rsid w:val="00C50E2F"/>
    <w:rsid w:val="00C5138E"/>
    <w:rsid w:val="00C514FF"/>
    <w:rsid w:val="00C51D7A"/>
    <w:rsid w:val="00C51E16"/>
    <w:rsid w:val="00C52469"/>
    <w:rsid w:val="00C54250"/>
    <w:rsid w:val="00C5432A"/>
    <w:rsid w:val="00C54754"/>
    <w:rsid w:val="00C55486"/>
    <w:rsid w:val="00C55D80"/>
    <w:rsid w:val="00C561FE"/>
    <w:rsid w:val="00C56D1F"/>
    <w:rsid w:val="00C56DF3"/>
    <w:rsid w:val="00C5733E"/>
    <w:rsid w:val="00C57690"/>
    <w:rsid w:val="00C57B5E"/>
    <w:rsid w:val="00C57EF8"/>
    <w:rsid w:val="00C60D4E"/>
    <w:rsid w:val="00C614A6"/>
    <w:rsid w:val="00C61586"/>
    <w:rsid w:val="00C6170B"/>
    <w:rsid w:val="00C62EAE"/>
    <w:rsid w:val="00C65CE3"/>
    <w:rsid w:val="00C65F13"/>
    <w:rsid w:val="00C66094"/>
    <w:rsid w:val="00C661BB"/>
    <w:rsid w:val="00C667DA"/>
    <w:rsid w:val="00C668BC"/>
    <w:rsid w:val="00C66C22"/>
    <w:rsid w:val="00C66ECC"/>
    <w:rsid w:val="00C6755E"/>
    <w:rsid w:val="00C67C53"/>
    <w:rsid w:val="00C71AD2"/>
    <w:rsid w:val="00C71DD1"/>
    <w:rsid w:val="00C737A1"/>
    <w:rsid w:val="00C743D9"/>
    <w:rsid w:val="00C74708"/>
    <w:rsid w:val="00C74CDE"/>
    <w:rsid w:val="00C7586A"/>
    <w:rsid w:val="00C764C7"/>
    <w:rsid w:val="00C77B6D"/>
    <w:rsid w:val="00C77CA0"/>
    <w:rsid w:val="00C80E0E"/>
    <w:rsid w:val="00C8107C"/>
    <w:rsid w:val="00C82554"/>
    <w:rsid w:val="00C82FC0"/>
    <w:rsid w:val="00C835EE"/>
    <w:rsid w:val="00C839BA"/>
    <w:rsid w:val="00C83CC0"/>
    <w:rsid w:val="00C83F36"/>
    <w:rsid w:val="00C84F5E"/>
    <w:rsid w:val="00C851D0"/>
    <w:rsid w:val="00C85484"/>
    <w:rsid w:val="00C85EAA"/>
    <w:rsid w:val="00C85FF7"/>
    <w:rsid w:val="00C86712"/>
    <w:rsid w:val="00C8696B"/>
    <w:rsid w:val="00C87A63"/>
    <w:rsid w:val="00C91025"/>
    <w:rsid w:val="00C91AC3"/>
    <w:rsid w:val="00C92F7E"/>
    <w:rsid w:val="00C940D2"/>
    <w:rsid w:val="00C94EC6"/>
    <w:rsid w:val="00C9505E"/>
    <w:rsid w:val="00C9532C"/>
    <w:rsid w:val="00C9564D"/>
    <w:rsid w:val="00C95DCF"/>
    <w:rsid w:val="00C961DE"/>
    <w:rsid w:val="00C964ED"/>
    <w:rsid w:val="00C966B9"/>
    <w:rsid w:val="00C96BF2"/>
    <w:rsid w:val="00C974D3"/>
    <w:rsid w:val="00C97F6B"/>
    <w:rsid w:val="00CA0AA7"/>
    <w:rsid w:val="00CA0AB5"/>
    <w:rsid w:val="00CA0EE4"/>
    <w:rsid w:val="00CA1236"/>
    <w:rsid w:val="00CA1D9E"/>
    <w:rsid w:val="00CA2C51"/>
    <w:rsid w:val="00CA2FE0"/>
    <w:rsid w:val="00CA2FFF"/>
    <w:rsid w:val="00CA31DE"/>
    <w:rsid w:val="00CA35E2"/>
    <w:rsid w:val="00CA3641"/>
    <w:rsid w:val="00CA3C35"/>
    <w:rsid w:val="00CA42B1"/>
    <w:rsid w:val="00CA5492"/>
    <w:rsid w:val="00CA5640"/>
    <w:rsid w:val="00CA569B"/>
    <w:rsid w:val="00CA5C81"/>
    <w:rsid w:val="00CA6F8D"/>
    <w:rsid w:val="00CA738B"/>
    <w:rsid w:val="00CA75F8"/>
    <w:rsid w:val="00CB0164"/>
    <w:rsid w:val="00CB0293"/>
    <w:rsid w:val="00CB04F1"/>
    <w:rsid w:val="00CB0CD8"/>
    <w:rsid w:val="00CB0F1E"/>
    <w:rsid w:val="00CB1028"/>
    <w:rsid w:val="00CB1B78"/>
    <w:rsid w:val="00CB1F56"/>
    <w:rsid w:val="00CB2893"/>
    <w:rsid w:val="00CB2E15"/>
    <w:rsid w:val="00CB5009"/>
    <w:rsid w:val="00CB5B90"/>
    <w:rsid w:val="00CB5F09"/>
    <w:rsid w:val="00CB5FDC"/>
    <w:rsid w:val="00CB6E6A"/>
    <w:rsid w:val="00CB70A7"/>
    <w:rsid w:val="00CB7965"/>
    <w:rsid w:val="00CB7C71"/>
    <w:rsid w:val="00CC01DF"/>
    <w:rsid w:val="00CC0790"/>
    <w:rsid w:val="00CC0829"/>
    <w:rsid w:val="00CC1670"/>
    <w:rsid w:val="00CC2003"/>
    <w:rsid w:val="00CC24B5"/>
    <w:rsid w:val="00CC251B"/>
    <w:rsid w:val="00CC2D0A"/>
    <w:rsid w:val="00CC3944"/>
    <w:rsid w:val="00CC4313"/>
    <w:rsid w:val="00CC47BD"/>
    <w:rsid w:val="00CC4D5D"/>
    <w:rsid w:val="00CC534E"/>
    <w:rsid w:val="00CC548C"/>
    <w:rsid w:val="00CC54E3"/>
    <w:rsid w:val="00CC55DD"/>
    <w:rsid w:val="00CC585F"/>
    <w:rsid w:val="00CC5A95"/>
    <w:rsid w:val="00CC5BB8"/>
    <w:rsid w:val="00CC660B"/>
    <w:rsid w:val="00CC76E6"/>
    <w:rsid w:val="00CC79C1"/>
    <w:rsid w:val="00CC7D03"/>
    <w:rsid w:val="00CD0648"/>
    <w:rsid w:val="00CD0B27"/>
    <w:rsid w:val="00CD0FEF"/>
    <w:rsid w:val="00CD1552"/>
    <w:rsid w:val="00CD1B8F"/>
    <w:rsid w:val="00CD1C96"/>
    <w:rsid w:val="00CD230D"/>
    <w:rsid w:val="00CD38E8"/>
    <w:rsid w:val="00CD3B2A"/>
    <w:rsid w:val="00CD4568"/>
    <w:rsid w:val="00CD4D1E"/>
    <w:rsid w:val="00CD50E3"/>
    <w:rsid w:val="00CD6B45"/>
    <w:rsid w:val="00CD7249"/>
    <w:rsid w:val="00CD731D"/>
    <w:rsid w:val="00CD7F7C"/>
    <w:rsid w:val="00CE04EF"/>
    <w:rsid w:val="00CE1F98"/>
    <w:rsid w:val="00CE2C31"/>
    <w:rsid w:val="00CE2DCA"/>
    <w:rsid w:val="00CE3A44"/>
    <w:rsid w:val="00CE4213"/>
    <w:rsid w:val="00CE45BE"/>
    <w:rsid w:val="00CE4A7B"/>
    <w:rsid w:val="00CE540C"/>
    <w:rsid w:val="00CE560D"/>
    <w:rsid w:val="00CE5E05"/>
    <w:rsid w:val="00CE6F42"/>
    <w:rsid w:val="00CE75AC"/>
    <w:rsid w:val="00CE7CA5"/>
    <w:rsid w:val="00CE7E53"/>
    <w:rsid w:val="00CF0FD7"/>
    <w:rsid w:val="00CF16B8"/>
    <w:rsid w:val="00CF271F"/>
    <w:rsid w:val="00CF2AEE"/>
    <w:rsid w:val="00CF2C18"/>
    <w:rsid w:val="00CF3240"/>
    <w:rsid w:val="00CF3CDB"/>
    <w:rsid w:val="00CF3FDF"/>
    <w:rsid w:val="00CF43A0"/>
    <w:rsid w:val="00CF4998"/>
    <w:rsid w:val="00CF636D"/>
    <w:rsid w:val="00CF63BD"/>
    <w:rsid w:val="00CF7AA2"/>
    <w:rsid w:val="00D0121B"/>
    <w:rsid w:val="00D01C5A"/>
    <w:rsid w:val="00D02231"/>
    <w:rsid w:val="00D02338"/>
    <w:rsid w:val="00D02ACF"/>
    <w:rsid w:val="00D03073"/>
    <w:rsid w:val="00D038E3"/>
    <w:rsid w:val="00D03D82"/>
    <w:rsid w:val="00D04A5A"/>
    <w:rsid w:val="00D04AFA"/>
    <w:rsid w:val="00D0681A"/>
    <w:rsid w:val="00D07BBB"/>
    <w:rsid w:val="00D07E7B"/>
    <w:rsid w:val="00D104D1"/>
    <w:rsid w:val="00D10F0D"/>
    <w:rsid w:val="00D113CA"/>
    <w:rsid w:val="00D14036"/>
    <w:rsid w:val="00D142D0"/>
    <w:rsid w:val="00D14889"/>
    <w:rsid w:val="00D16277"/>
    <w:rsid w:val="00D162CE"/>
    <w:rsid w:val="00D1638B"/>
    <w:rsid w:val="00D1639A"/>
    <w:rsid w:val="00D16837"/>
    <w:rsid w:val="00D1695D"/>
    <w:rsid w:val="00D21AAB"/>
    <w:rsid w:val="00D21B5E"/>
    <w:rsid w:val="00D23C77"/>
    <w:rsid w:val="00D23DE3"/>
    <w:rsid w:val="00D240BE"/>
    <w:rsid w:val="00D243FC"/>
    <w:rsid w:val="00D24AD8"/>
    <w:rsid w:val="00D24F46"/>
    <w:rsid w:val="00D2524D"/>
    <w:rsid w:val="00D2662F"/>
    <w:rsid w:val="00D26838"/>
    <w:rsid w:val="00D269E1"/>
    <w:rsid w:val="00D2777E"/>
    <w:rsid w:val="00D277B0"/>
    <w:rsid w:val="00D3026C"/>
    <w:rsid w:val="00D3029B"/>
    <w:rsid w:val="00D31134"/>
    <w:rsid w:val="00D317DA"/>
    <w:rsid w:val="00D3191C"/>
    <w:rsid w:val="00D31E6D"/>
    <w:rsid w:val="00D3234F"/>
    <w:rsid w:val="00D32781"/>
    <w:rsid w:val="00D339BD"/>
    <w:rsid w:val="00D33D06"/>
    <w:rsid w:val="00D33F90"/>
    <w:rsid w:val="00D34949"/>
    <w:rsid w:val="00D34A59"/>
    <w:rsid w:val="00D34F55"/>
    <w:rsid w:val="00D3555A"/>
    <w:rsid w:val="00D35AF8"/>
    <w:rsid w:val="00D36BA1"/>
    <w:rsid w:val="00D36E5F"/>
    <w:rsid w:val="00D377DE"/>
    <w:rsid w:val="00D37A4A"/>
    <w:rsid w:val="00D4176D"/>
    <w:rsid w:val="00D439E7"/>
    <w:rsid w:val="00D43B70"/>
    <w:rsid w:val="00D44849"/>
    <w:rsid w:val="00D45A9E"/>
    <w:rsid w:val="00D463DE"/>
    <w:rsid w:val="00D478C3"/>
    <w:rsid w:val="00D47F4D"/>
    <w:rsid w:val="00D47F7F"/>
    <w:rsid w:val="00D507D5"/>
    <w:rsid w:val="00D52A0A"/>
    <w:rsid w:val="00D53620"/>
    <w:rsid w:val="00D54480"/>
    <w:rsid w:val="00D544F6"/>
    <w:rsid w:val="00D547AD"/>
    <w:rsid w:val="00D54F2C"/>
    <w:rsid w:val="00D5587E"/>
    <w:rsid w:val="00D55A1F"/>
    <w:rsid w:val="00D55B97"/>
    <w:rsid w:val="00D55D11"/>
    <w:rsid w:val="00D5601D"/>
    <w:rsid w:val="00D56377"/>
    <w:rsid w:val="00D56A6E"/>
    <w:rsid w:val="00D604B4"/>
    <w:rsid w:val="00D60D0A"/>
    <w:rsid w:val="00D6133E"/>
    <w:rsid w:val="00D61BC5"/>
    <w:rsid w:val="00D61C76"/>
    <w:rsid w:val="00D6208F"/>
    <w:rsid w:val="00D6284F"/>
    <w:rsid w:val="00D62B88"/>
    <w:rsid w:val="00D62C55"/>
    <w:rsid w:val="00D62D63"/>
    <w:rsid w:val="00D63088"/>
    <w:rsid w:val="00D63771"/>
    <w:rsid w:val="00D63BE4"/>
    <w:rsid w:val="00D63D1C"/>
    <w:rsid w:val="00D63E1B"/>
    <w:rsid w:val="00D63F0C"/>
    <w:rsid w:val="00D645BB"/>
    <w:rsid w:val="00D64654"/>
    <w:rsid w:val="00D648EC"/>
    <w:rsid w:val="00D65819"/>
    <w:rsid w:val="00D669F0"/>
    <w:rsid w:val="00D66CF2"/>
    <w:rsid w:val="00D67100"/>
    <w:rsid w:val="00D7014B"/>
    <w:rsid w:val="00D7055C"/>
    <w:rsid w:val="00D71171"/>
    <w:rsid w:val="00D714B7"/>
    <w:rsid w:val="00D71EBD"/>
    <w:rsid w:val="00D73E73"/>
    <w:rsid w:val="00D756F3"/>
    <w:rsid w:val="00D7583E"/>
    <w:rsid w:val="00D75F90"/>
    <w:rsid w:val="00D7679B"/>
    <w:rsid w:val="00D76A47"/>
    <w:rsid w:val="00D80C41"/>
    <w:rsid w:val="00D82D94"/>
    <w:rsid w:val="00D8375F"/>
    <w:rsid w:val="00D847DD"/>
    <w:rsid w:val="00D85AEB"/>
    <w:rsid w:val="00D85F03"/>
    <w:rsid w:val="00D86483"/>
    <w:rsid w:val="00D865CA"/>
    <w:rsid w:val="00D86FF9"/>
    <w:rsid w:val="00D87F3E"/>
    <w:rsid w:val="00D900DF"/>
    <w:rsid w:val="00D90FC3"/>
    <w:rsid w:val="00D90FDB"/>
    <w:rsid w:val="00D910D7"/>
    <w:rsid w:val="00D911F4"/>
    <w:rsid w:val="00D927D0"/>
    <w:rsid w:val="00D92BF1"/>
    <w:rsid w:val="00D92DEF"/>
    <w:rsid w:val="00D930FC"/>
    <w:rsid w:val="00D9349E"/>
    <w:rsid w:val="00D93DC1"/>
    <w:rsid w:val="00D93E89"/>
    <w:rsid w:val="00D94629"/>
    <w:rsid w:val="00D946C6"/>
    <w:rsid w:val="00D946C8"/>
    <w:rsid w:val="00D94A46"/>
    <w:rsid w:val="00D94DDE"/>
    <w:rsid w:val="00D95032"/>
    <w:rsid w:val="00D950FE"/>
    <w:rsid w:val="00D95254"/>
    <w:rsid w:val="00D9560D"/>
    <w:rsid w:val="00D95836"/>
    <w:rsid w:val="00D95BF5"/>
    <w:rsid w:val="00D96D0F"/>
    <w:rsid w:val="00D9713D"/>
    <w:rsid w:val="00D978C7"/>
    <w:rsid w:val="00D97950"/>
    <w:rsid w:val="00DA041C"/>
    <w:rsid w:val="00DA0551"/>
    <w:rsid w:val="00DA17CF"/>
    <w:rsid w:val="00DA20C0"/>
    <w:rsid w:val="00DA239D"/>
    <w:rsid w:val="00DA2530"/>
    <w:rsid w:val="00DA289E"/>
    <w:rsid w:val="00DA2933"/>
    <w:rsid w:val="00DA3D04"/>
    <w:rsid w:val="00DA53D4"/>
    <w:rsid w:val="00DA54F2"/>
    <w:rsid w:val="00DA567B"/>
    <w:rsid w:val="00DA6631"/>
    <w:rsid w:val="00DA6C13"/>
    <w:rsid w:val="00DB0005"/>
    <w:rsid w:val="00DB0F31"/>
    <w:rsid w:val="00DB1C9D"/>
    <w:rsid w:val="00DB2F13"/>
    <w:rsid w:val="00DB3206"/>
    <w:rsid w:val="00DB37CC"/>
    <w:rsid w:val="00DB38A3"/>
    <w:rsid w:val="00DB3BFF"/>
    <w:rsid w:val="00DB3DB9"/>
    <w:rsid w:val="00DB3F7F"/>
    <w:rsid w:val="00DB4124"/>
    <w:rsid w:val="00DB4185"/>
    <w:rsid w:val="00DB4312"/>
    <w:rsid w:val="00DB5604"/>
    <w:rsid w:val="00DB5A3D"/>
    <w:rsid w:val="00DB5CAC"/>
    <w:rsid w:val="00DB600B"/>
    <w:rsid w:val="00DB672B"/>
    <w:rsid w:val="00DB67C4"/>
    <w:rsid w:val="00DB6D70"/>
    <w:rsid w:val="00DB74F3"/>
    <w:rsid w:val="00DB772D"/>
    <w:rsid w:val="00DB7B32"/>
    <w:rsid w:val="00DB7D41"/>
    <w:rsid w:val="00DB7EDE"/>
    <w:rsid w:val="00DB7F67"/>
    <w:rsid w:val="00DC01E6"/>
    <w:rsid w:val="00DC1B0E"/>
    <w:rsid w:val="00DC2B5D"/>
    <w:rsid w:val="00DC2D43"/>
    <w:rsid w:val="00DC32CA"/>
    <w:rsid w:val="00DC373B"/>
    <w:rsid w:val="00DC3A41"/>
    <w:rsid w:val="00DC43D2"/>
    <w:rsid w:val="00DC4426"/>
    <w:rsid w:val="00DC4BFC"/>
    <w:rsid w:val="00DC6031"/>
    <w:rsid w:val="00DC78A7"/>
    <w:rsid w:val="00DC7D69"/>
    <w:rsid w:val="00DC7F6C"/>
    <w:rsid w:val="00DD1926"/>
    <w:rsid w:val="00DD1D15"/>
    <w:rsid w:val="00DD1E35"/>
    <w:rsid w:val="00DD2053"/>
    <w:rsid w:val="00DD265B"/>
    <w:rsid w:val="00DD2D0F"/>
    <w:rsid w:val="00DD352F"/>
    <w:rsid w:val="00DD3A87"/>
    <w:rsid w:val="00DD3D00"/>
    <w:rsid w:val="00DD4B99"/>
    <w:rsid w:val="00DD5550"/>
    <w:rsid w:val="00DD5941"/>
    <w:rsid w:val="00DD665D"/>
    <w:rsid w:val="00DD680C"/>
    <w:rsid w:val="00DD6BD7"/>
    <w:rsid w:val="00DD72B9"/>
    <w:rsid w:val="00DD7CFF"/>
    <w:rsid w:val="00DD7FD4"/>
    <w:rsid w:val="00DE042E"/>
    <w:rsid w:val="00DE05D0"/>
    <w:rsid w:val="00DE0AAF"/>
    <w:rsid w:val="00DE2383"/>
    <w:rsid w:val="00DE3835"/>
    <w:rsid w:val="00DE3AA4"/>
    <w:rsid w:val="00DE4E54"/>
    <w:rsid w:val="00DE645B"/>
    <w:rsid w:val="00DE65BF"/>
    <w:rsid w:val="00DE6604"/>
    <w:rsid w:val="00DE6DC7"/>
    <w:rsid w:val="00DE7AC0"/>
    <w:rsid w:val="00DE7F25"/>
    <w:rsid w:val="00DF06B7"/>
    <w:rsid w:val="00DF06B9"/>
    <w:rsid w:val="00DF0BB2"/>
    <w:rsid w:val="00DF104F"/>
    <w:rsid w:val="00DF15DC"/>
    <w:rsid w:val="00DF1C02"/>
    <w:rsid w:val="00DF209D"/>
    <w:rsid w:val="00DF237B"/>
    <w:rsid w:val="00DF31F8"/>
    <w:rsid w:val="00DF37A8"/>
    <w:rsid w:val="00DF46EE"/>
    <w:rsid w:val="00DF5717"/>
    <w:rsid w:val="00DF6535"/>
    <w:rsid w:val="00DF7401"/>
    <w:rsid w:val="00DF7465"/>
    <w:rsid w:val="00DF767D"/>
    <w:rsid w:val="00DF7E4E"/>
    <w:rsid w:val="00E00020"/>
    <w:rsid w:val="00E01174"/>
    <w:rsid w:val="00E039A5"/>
    <w:rsid w:val="00E0542E"/>
    <w:rsid w:val="00E055BE"/>
    <w:rsid w:val="00E06C62"/>
    <w:rsid w:val="00E071FE"/>
    <w:rsid w:val="00E075C3"/>
    <w:rsid w:val="00E116A2"/>
    <w:rsid w:val="00E117BE"/>
    <w:rsid w:val="00E118AB"/>
    <w:rsid w:val="00E11952"/>
    <w:rsid w:val="00E11C87"/>
    <w:rsid w:val="00E11C99"/>
    <w:rsid w:val="00E12C21"/>
    <w:rsid w:val="00E13237"/>
    <w:rsid w:val="00E13884"/>
    <w:rsid w:val="00E14580"/>
    <w:rsid w:val="00E14BD9"/>
    <w:rsid w:val="00E1500B"/>
    <w:rsid w:val="00E151E7"/>
    <w:rsid w:val="00E1524A"/>
    <w:rsid w:val="00E15471"/>
    <w:rsid w:val="00E15A1D"/>
    <w:rsid w:val="00E15AA7"/>
    <w:rsid w:val="00E15F1E"/>
    <w:rsid w:val="00E164A4"/>
    <w:rsid w:val="00E16511"/>
    <w:rsid w:val="00E16CC1"/>
    <w:rsid w:val="00E2177B"/>
    <w:rsid w:val="00E21CF0"/>
    <w:rsid w:val="00E243BE"/>
    <w:rsid w:val="00E24997"/>
    <w:rsid w:val="00E25324"/>
    <w:rsid w:val="00E254FC"/>
    <w:rsid w:val="00E255A0"/>
    <w:rsid w:val="00E255AA"/>
    <w:rsid w:val="00E25709"/>
    <w:rsid w:val="00E25BEC"/>
    <w:rsid w:val="00E25F80"/>
    <w:rsid w:val="00E269DA"/>
    <w:rsid w:val="00E26F30"/>
    <w:rsid w:val="00E270B9"/>
    <w:rsid w:val="00E27344"/>
    <w:rsid w:val="00E27412"/>
    <w:rsid w:val="00E2797C"/>
    <w:rsid w:val="00E27C87"/>
    <w:rsid w:val="00E27C9D"/>
    <w:rsid w:val="00E27EB5"/>
    <w:rsid w:val="00E30ED5"/>
    <w:rsid w:val="00E31337"/>
    <w:rsid w:val="00E31F3E"/>
    <w:rsid w:val="00E325B2"/>
    <w:rsid w:val="00E33096"/>
    <w:rsid w:val="00E35BAE"/>
    <w:rsid w:val="00E36267"/>
    <w:rsid w:val="00E362B5"/>
    <w:rsid w:val="00E36452"/>
    <w:rsid w:val="00E37127"/>
    <w:rsid w:val="00E37773"/>
    <w:rsid w:val="00E37AAF"/>
    <w:rsid w:val="00E37EFE"/>
    <w:rsid w:val="00E40078"/>
    <w:rsid w:val="00E40260"/>
    <w:rsid w:val="00E402EE"/>
    <w:rsid w:val="00E405C0"/>
    <w:rsid w:val="00E418E5"/>
    <w:rsid w:val="00E41B68"/>
    <w:rsid w:val="00E42606"/>
    <w:rsid w:val="00E42F91"/>
    <w:rsid w:val="00E43048"/>
    <w:rsid w:val="00E431C5"/>
    <w:rsid w:val="00E44645"/>
    <w:rsid w:val="00E45372"/>
    <w:rsid w:val="00E512B7"/>
    <w:rsid w:val="00E519F8"/>
    <w:rsid w:val="00E51A11"/>
    <w:rsid w:val="00E52202"/>
    <w:rsid w:val="00E52C8A"/>
    <w:rsid w:val="00E52CDE"/>
    <w:rsid w:val="00E52D02"/>
    <w:rsid w:val="00E52F1A"/>
    <w:rsid w:val="00E530E9"/>
    <w:rsid w:val="00E53BC7"/>
    <w:rsid w:val="00E54206"/>
    <w:rsid w:val="00E54498"/>
    <w:rsid w:val="00E54574"/>
    <w:rsid w:val="00E5496E"/>
    <w:rsid w:val="00E54F64"/>
    <w:rsid w:val="00E55032"/>
    <w:rsid w:val="00E56140"/>
    <w:rsid w:val="00E561D5"/>
    <w:rsid w:val="00E564A7"/>
    <w:rsid w:val="00E566D4"/>
    <w:rsid w:val="00E56924"/>
    <w:rsid w:val="00E57921"/>
    <w:rsid w:val="00E61C59"/>
    <w:rsid w:val="00E6280D"/>
    <w:rsid w:val="00E631CC"/>
    <w:rsid w:val="00E635E2"/>
    <w:rsid w:val="00E6364F"/>
    <w:rsid w:val="00E645B7"/>
    <w:rsid w:val="00E64831"/>
    <w:rsid w:val="00E648F3"/>
    <w:rsid w:val="00E6525B"/>
    <w:rsid w:val="00E65A90"/>
    <w:rsid w:val="00E65ABA"/>
    <w:rsid w:val="00E65D1F"/>
    <w:rsid w:val="00E66985"/>
    <w:rsid w:val="00E66ABB"/>
    <w:rsid w:val="00E678C0"/>
    <w:rsid w:val="00E67F77"/>
    <w:rsid w:val="00E7094F"/>
    <w:rsid w:val="00E7157E"/>
    <w:rsid w:val="00E7165C"/>
    <w:rsid w:val="00E71813"/>
    <w:rsid w:val="00E72341"/>
    <w:rsid w:val="00E73F37"/>
    <w:rsid w:val="00E75054"/>
    <w:rsid w:val="00E7530B"/>
    <w:rsid w:val="00E754FF"/>
    <w:rsid w:val="00E75824"/>
    <w:rsid w:val="00E762AA"/>
    <w:rsid w:val="00E77164"/>
    <w:rsid w:val="00E77C70"/>
    <w:rsid w:val="00E8031E"/>
    <w:rsid w:val="00E808A2"/>
    <w:rsid w:val="00E80D49"/>
    <w:rsid w:val="00E81A40"/>
    <w:rsid w:val="00E8230C"/>
    <w:rsid w:val="00E82387"/>
    <w:rsid w:val="00E824F4"/>
    <w:rsid w:val="00E84244"/>
    <w:rsid w:val="00E850A7"/>
    <w:rsid w:val="00E851F8"/>
    <w:rsid w:val="00E86240"/>
    <w:rsid w:val="00E865A5"/>
    <w:rsid w:val="00E871E3"/>
    <w:rsid w:val="00E87416"/>
    <w:rsid w:val="00E8798E"/>
    <w:rsid w:val="00E9043F"/>
    <w:rsid w:val="00E91D59"/>
    <w:rsid w:val="00E9208F"/>
    <w:rsid w:val="00E92145"/>
    <w:rsid w:val="00E92370"/>
    <w:rsid w:val="00E926F3"/>
    <w:rsid w:val="00E92944"/>
    <w:rsid w:val="00E92E48"/>
    <w:rsid w:val="00E9301A"/>
    <w:rsid w:val="00E93EA6"/>
    <w:rsid w:val="00E94A00"/>
    <w:rsid w:val="00E94F31"/>
    <w:rsid w:val="00E95F6A"/>
    <w:rsid w:val="00E96009"/>
    <w:rsid w:val="00E96836"/>
    <w:rsid w:val="00E9687E"/>
    <w:rsid w:val="00E96EC9"/>
    <w:rsid w:val="00E9786B"/>
    <w:rsid w:val="00E97881"/>
    <w:rsid w:val="00E979F2"/>
    <w:rsid w:val="00E97ED2"/>
    <w:rsid w:val="00EA024D"/>
    <w:rsid w:val="00EA1951"/>
    <w:rsid w:val="00EA236E"/>
    <w:rsid w:val="00EA2440"/>
    <w:rsid w:val="00EA3ABA"/>
    <w:rsid w:val="00EA4BF6"/>
    <w:rsid w:val="00EA5E2F"/>
    <w:rsid w:val="00EA7391"/>
    <w:rsid w:val="00EA7A0F"/>
    <w:rsid w:val="00EB007B"/>
    <w:rsid w:val="00EB01B3"/>
    <w:rsid w:val="00EB0785"/>
    <w:rsid w:val="00EB07B1"/>
    <w:rsid w:val="00EB0D84"/>
    <w:rsid w:val="00EB1CA6"/>
    <w:rsid w:val="00EB1D77"/>
    <w:rsid w:val="00EB2E8F"/>
    <w:rsid w:val="00EB3507"/>
    <w:rsid w:val="00EB469D"/>
    <w:rsid w:val="00EB5AB7"/>
    <w:rsid w:val="00EB618F"/>
    <w:rsid w:val="00EB6653"/>
    <w:rsid w:val="00EC0114"/>
    <w:rsid w:val="00EC1230"/>
    <w:rsid w:val="00EC19C2"/>
    <w:rsid w:val="00EC25E6"/>
    <w:rsid w:val="00EC2D59"/>
    <w:rsid w:val="00EC3F4C"/>
    <w:rsid w:val="00EC5021"/>
    <w:rsid w:val="00EC5EFF"/>
    <w:rsid w:val="00EC5F17"/>
    <w:rsid w:val="00EC69B7"/>
    <w:rsid w:val="00EC768E"/>
    <w:rsid w:val="00ED02E1"/>
    <w:rsid w:val="00ED0346"/>
    <w:rsid w:val="00ED0473"/>
    <w:rsid w:val="00ED052E"/>
    <w:rsid w:val="00ED0564"/>
    <w:rsid w:val="00ED0861"/>
    <w:rsid w:val="00ED0CDF"/>
    <w:rsid w:val="00ED0F5F"/>
    <w:rsid w:val="00ED1625"/>
    <w:rsid w:val="00ED165B"/>
    <w:rsid w:val="00ED1781"/>
    <w:rsid w:val="00ED1C11"/>
    <w:rsid w:val="00ED1F8E"/>
    <w:rsid w:val="00ED215A"/>
    <w:rsid w:val="00ED292E"/>
    <w:rsid w:val="00ED2F38"/>
    <w:rsid w:val="00ED301B"/>
    <w:rsid w:val="00ED446A"/>
    <w:rsid w:val="00ED4983"/>
    <w:rsid w:val="00ED6DBD"/>
    <w:rsid w:val="00ED7806"/>
    <w:rsid w:val="00ED7EAA"/>
    <w:rsid w:val="00EE0174"/>
    <w:rsid w:val="00EE055E"/>
    <w:rsid w:val="00EE0644"/>
    <w:rsid w:val="00EE1E52"/>
    <w:rsid w:val="00EE2434"/>
    <w:rsid w:val="00EE2E12"/>
    <w:rsid w:val="00EE2E9F"/>
    <w:rsid w:val="00EE3EC4"/>
    <w:rsid w:val="00EE477E"/>
    <w:rsid w:val="00EE49B2"/>
    <w:rsid w:val="00EE4C58"/>
    <w:rsid w:val="00EE56F5"/>
    <w:rsid w:val="00EE58C9"/>
    <w:rsid w:val="00EE59E6"/>
    <w:rsid w:val="00EE5B71"/>
    <w:rsid w:val="00EE5D50"/>
    <w:rsid w:val="00EE6194"/>
    <w:rsid w:val="00EE7261"/>
    <w:rsid w:val="00EE74EA"/>
    <w:rsid w:val="00EE7FF1"/>
    <w:rsid w:val="00EF0EC0"/>
    <w:rsid w:val="00EF190A"/>
    <w:rsid w:val="00EF20CD"/>
    <w:rsid w:val="00EF2B3A"/>
    <w:rsid w:val="00EF2F97"/>
    <w:rsid w:val="00EF3400"/>
    <w:rsid w:val="00EF36AF"/>
    <w:rsid w:val="00EF3926"/>
    <w:rsid w:val="00EF39BA"/>
    <w:rsid w:val="00EF3CD8"/>
    <w:rsid w:val="00EF4694"/>
    <w:rsid w:val="00EF47F5"/>
    <w:rsid w:val="00EF4804"/>
    <w:rsid w:val="00EF4AF6"/>
    <w:rsid w:val="00EF4F27"/>
    <w:rsid w:val="00EF57D5"/>
    <w:rsid w:val="00EF700E"/>
    <w:rsid w:val="00EF7443"/>
    <w:rsid w:val="00EF7D2C"/>
    <w:rsid w:val="00F0067F"/>
    <w:rsid w:val="00F015B5"/>
    <w:rsid w:val="00F01631"/>
    <w:rsid w:val="00F018B0"/>
    <w:rsid w:val="00F01D3D"/>
    <w:rsid w:val="00F02815"/>
    <w:rsid w:val="00F02B79"/>
    <w:rsid w:val="00F02CB8"/>
    <w:rsid w:val="00F02F13"/>
    <w:rsid w:val="00F0303F"/>
    <w:rsid w:val="00F03224"/>
    <w:rsid w:val="00F033AE"/>
    <w:rsid w:val="00F0350F"/>
    <w:rsid w:val="00F03663"/>
    <w:rsid w:val="00F03BCB"/>
    <w:rsid w:val="00F0432A"/>
    <w:rsid w:val="00F044C5"/>
    <w:rsid w:val="00F04727"/>
    <w:rsid w:val="00F04D78"/>
    <w:rsid w:val="00F04E3A"/>
    <w:rsid w:val="00F04EFC"/>
    <w:rsid w:val="00F062D4"/>
    <w:rsid w:val="00F06D39"/>
    <w:rsid w:val="00F07057"/>
    <w:rsid w:val="00F075E3"/>
    <w:rsid w:val="00F10174"/>
    <w:rsid w:val="00F104D6"/>
    <w:rsid w:val="00F11C95"/>
    <w:rsid w:val="00F12174"/>
    <w:rsid w:val="00F125DE"/>
    <w:rsid w:val="00F13487"/>
    <w:rsid w:val="00F13E19"/>
    <w:rsid w:val="00F13E3B"/>
    <w:rsid w:val="00F13E98"/>
    <w:rsid w:val="00F14574"/>
    <w:rsid w:val="00F15079"/>
    <w:rsid w:val="00F1608E"/>
    <w:rsid w:val="00F20525"/>
    <w:rsid w:val="00F2058E"/>
    <w:rsid w:val="00F2071A"/>
    <w:rsid w:val="00F21198"/>
    <w:rsid w:val="00F21255"/>
    <w:rsid w:val="00F21A69"/>
    <w:rsid w:val="00F22644"/>
    <w:rsid w:val="00F22646"/>
    <w:rsid w:val="00F23670"/>
    <w:rsid w:val="00F236E0"/>
    <w:rsid w:val="00F24CDF"/>
    <w:rsid w:val="00F25767"/>
    <w:rsid w:val="00F25894"/>
    <w:rsid w:val="00F25FA3"/>
    <w:rsid w:val="00F26FAA"/>
    <w:rsid w:val="00F26FB0"/>
    <w:rsid w:val="00F27BA7"/>
    <w:rsid w:val="00F27F7C"/>
    <w:rsid w:val="00F300B1"/>
    <w:rsid w:val="00F30141"/>
    <w:rsid w:val="00F316C6"/>
    <w:rsid w:val="00F32695"/>
    <w:rsid w:val="00F32B8D"/>
    <w:rsid w:val="00F3471D"/>
    <w:rsid w:val="00F3532E"/>
    <w:rsid w:val="00F36505"/>
    <w:rsid w:val="00F36862"/>
    <w:rsid w:val="00F3751B"/>
    <w:rsid w:val="00F3754A"/>
    <w:rsid w:val="00F40047"/>
    <w:rsid w:val="00F40BEF"/>
    <w:rsid w:val="00F40F02"/>
    <w:rsid w:val="00F415F4"/>
    <w:rsid w:val="00F41785"/>
    <w:rsid w:val="00F419B2"/>
    <w:rsid w:val="00F41BB7"/>
    <w:rsid w:val="00F4225C"/>
    <w:rsid w:val="00F424B0"/>
    <w:rsid w:val="00F424F2"/>
    <w:rsid w:val="00F42AD6"/>
    <w:rsid w:val="00F43327"/>
    <w:rsid w:val="00F43B5E"/>
    <w:rsid w:val="00F43C42"/>
    <w:rsid w:val="00F43EB5"/>
    <w:rsid w:val="00F44B4B"/>
    <w:rsid w:val="00F4572E"/>
    <w:rsid w:val="00F45975"/>
    <w:rsid w:val="00F45B59"/>
    <w:rsid w:val="00F4622F"/>
    <w:rsid w:val="00F46BE0"/>
    <w:rsid w:val="00F46DC0"/>
    <w:rsid w:val="00F4718B"/>
    <w:rsid w:val="00F50608"/>
    <w:rsid w:val="00F508F2"/>
    <w:rsid w:val="00F50D31"/>
    <w:rsid w:val="00F51246"/>
    <w:rsid w:val="00F51E17"/>
    <w:rsid w:val="00F5240A"/>
    <w:rsid w:val="00F52799"/>
    <w:rsid w:val="00F52B6A"/>
    <w:rsid w:val="00F52F00"/>
    <w:rsid w:val="00F537F6"/>
    <w:rsid w:val="00F54AD7"/>
    <w:rsid w:val="00F55135"/>
    <w:rsid w:val="00F56196"/>
    <w:rsid w:val="00F56949"/>
    <w:rsid w:val="00F56BE8"/>
    <w:rsid w:val="00F60F4C"/>
    <w:rsid w:val="00F62194"/>
    <w:rsid w:val="00F621EE"/>
    <w:rsid w:val="00F63395"/>
    <w:rsid w:val="00F651DF"/>
    <w:rsid w:val="00F65CAE"/>
    <w:rsid w:val="00F65F25"/>
    <w:rsid w:val="00F66C7F"/>
    <w:rsid w:val="00F67A4E"/>
    <w:rsid w:val="00F67ABA"/>
    <w:rsid w:val="00F70100"/>
    <w:rsid w:val="00F7066D"/>
    <w:rsid w:val="00F716A2"/>
    <w:rsid w:val="00F71A9E"/>
    <w:rsid w:val="00F71E3A"/>
    <w:rsid w:val="00F72F78"/>
    <w:rsid w:val="00F73488"/>
    <w:rsid w:val="00F75659"/>
    <w:rsid w:val="00F7567F"/>
    <w:rsid w:val="00F758E7"/>
    <w:rsid w:val="00F7604E"/>
    <w:rsid w:val="00F76D62"/>
    <w:rsid w:val="00F774E3"/>
    <w:rsid w:val="00F80D3C"/>
    <w:rsid w:val="00F81454"/>
    <w:rsid w:val="00F81E73"/>
    <w:rsid w:val="00F829C3"/>
    <w:rsid w:val="00F82BA2"/>
    <w:rsid w:val="00F82E35"/>
    <w:rsid w:val="00F838FA"/>
    <w:rsid w:val="00F83A1D"/>
    <w:rsid w:val="00F83D14"/>
    <w:rsid w:val="00F85DE1"/>
    <w:rsid w:val="00F85FFF"/>
    <w:rsid w:val="00F864A0"/>
    <w:rsid w:val="00F86AB8"/>
    <w:rsid w:val="00F87517"/>
    <w:rsid w:val="00F8788C"/>
    <w:rsid w:val="00F87DC3"/>
    <w:rsid w:val="00F91AB9"/>
    <w:rsid w:val="00F91E0A"/>
    <w:rsid w:val="00F91F9C"/>
    <w:rsid w:val="00F92967"/>
    <w:rsid w:val="00F92B02"/>
    <w:rsid w:val="00F93233"/>
    <w:rsid w:val="00F9367E"/>
    <w:rsid w:val="00F93950"/>
    <w:rsid w:val="00F945CD"/>
    <w:rsid w:val="00F94A0E"/>
    <w:rsid w:val="00F95015"/>
    <w:rsid w:val="00F9533E"/>
    <w:rsid w:val="00F95BBB"/>
    <w:rsid w:val="00F96861"/>
    <w:rsid w:val="00F97D4D"/>
    <w:rsid w:val="00FA020A"/>
    <w:rsid w:val="00FA02EA"/>
    <w:rsid w:val="00FA0314"/>
    <w:rsid w:val="00FA13ED"/>
    <w:rsid w:val="00FA165F"/>
    <w:rsid w:val="00FA2104"/>
    <w:rsid w:val="00FA2392"/>
    <w:rsid w:val="00FA28A7"/>
    <w:rsid w:val="00FA2B72"/>
    <w:rsid w:val="00FA2CE8"/>
    <w:rsid w:val="00FA2FE8"/>
    <w:rsid w:val="00FA336A"/>
    <w:rsid w:val="00FA3F9A"/>
    <w:rsid w:val="00FA4833"/>
    <w:rsid w:val="00FA4DCC"/>
    <w:rsid w:val="00FA5592"/>
    <w:rsid w:val="00FA5D04"/>
    <w:rsid w:val="00FA6396"/>
    <w:rsid w:val="00FA6DAD"/>
    <w:rsid w:val="00FA73A7"/>
    <w:rsid w:val="00FA7439"/>
    <w:rsid w:val="00FA7442"/>
    <w:rsid w:val="00FA7776"/>
    <w:rsid w:val="00FA7782"/>
    <w:rsid w:val="00FB012A"/>
    <w:rsid w:val="00FB0218"/>
    <w:rsid w:val="00FB0C9C"/>
    <w:rsid w:val="00FB1256"/>
    <w:rsid w:val="00FB1830"/>
    <w:rsid w:val="00FB204F"/>
    <w:rsid w:val="00FB21DD"/>
    <w:rsid w:val="00FB2773"/>
    <w:rsid w:val="00FB2B35"/>
    <w:rsid w:val="00FB32E5"/>
    <w:rsid w:val="00FB3537"/>
    <w:rsid w:val="00FB3A50"/>
    <w:rsid w:val="00FB3E05"/>
    <w:rsid w:val="00FB45D0"/>
    <w:rsid w:val="00FB49E7"/>
    <w:rsid w:val="00FB5D17"/>
    <w:rsid w:val="00FB67BB"/>
    <w:rsid w:val="00FB6C16"/>
    <w:rsid w:val="00FB7401"/>
    <w:rsid w:val="00FB7724"/>
    <w:rsid w:val="00FC4779"/>
    <w:rsid w:val="00FC4823"/>
    <w:rsid w:val="00FC493E"/>
    <w:rsid w:val="00FC5AA7"/>
    <w:rsid w:val="00FC5E22"/>
    <w:rsid w:val="00FC6121"/>
    <w:rsid w:val="00FC7839"/>
    <w:rsid w:val="00FC7DBF"/>
    <w:rsid w:val="00FC7FC2"/>
    <w:rsid w:val="00FD0F82"/>
    <w:rsid w:val="00FD113E"/>
    <w:rsid w:val="00FD11E4"/>
    <w:rsid w:val="00FD1EFF"/>
    <w:rsid w:val="00FD2096"/>
    <w:rsid w:val="00FD2EFB"/>
    <w:rsid w:val="00FD3331"/>
    <w:rsid w:val="00FD3340"/>
    <w:rsid w:val="00FD395A"/>
    <w:rsid w:val="00FD3EDF"/>
    <w:rsid w:val="00FD51E0"/>
    <w:rsid w:val="00FD5E9C"/>
    <w:rsid w:val="00FE0BF2"/>
    <w:rsid w:val="00FE163A"/>
    <w:rsid w:val="00FE21DA"/>
    <w:rsid w:val="00FE2410"/>
    <w:rsid w:val="00FE2437"/>
    <w:rsid w:val="00FE2D63"/>
    <w:rsid w:val="00FE2E90"/>
    <w:rsid w:val="00FE30D5"/>
    <w:rsid w:val="00FE3CC4"/>
    <w:rsid w:val="00FE3DA9"/>
    <w:rsid w:val="00FE483B"/>
    <w:rsid w:val="00FE57AD"/>
    <w:rsid w:val="00FE5AEE"/>
    <w:rsid w:val="00FE62AA"/>
    <w:rsid w:val="00FE6464"/>
    <w:rsid w:val="00FE6E71"/>
    <w:rsid w:val="00FE7E3E"/>
    <w:rsid w:val="00FE7FF3"/>
    <w:rsid w:val="00FF05F5"/>
    <w:rsid w:val="00FF0EF6"/>
    <w:rsid w:val="00FF128F"/>
    <w:rsid w:val="00FF1331"/>
    <w:rsid w:val="00FF142D"/>
    <w:rsid w:val="00FF1951"/>
    <w:rsid w:val="00FF2711"/>
    <w:rsid w:val="00FF2AFC"/>
    <w:rsid w:val="00FF3291"/>
    <w:rsid w:val="00FF3A2D"/>
    <w:rsid w:val="00FF4A43"/>
    <w:rsid w:val="00FF4D19"/>
    <w:rsid w:val="00FF56CD"/>
    <w:rsid w:val="00FF5CB3"/>
    <w:rsid w:val="00FF65F3"/>
    <w:rsid w:val="00FF66CF"/>
    <w:rsid w:val="00FF69E4"/>
    <w:rsid w:val="00FF6B3E"/>
    <w:rsid w:val="00FF77E1"/>
    <w:rsid w:val="00FF7A9F"/>
    <w:rsid w:val="00FF7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F9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sk-SK" w:eastAsia="sk-SK"/>
    </w:rPr>
  </w:style>
  <w:style w:type="paragraph" w:styleId="Heading1">
    <w:name w:val="heading 1"/>
    <w:basedOn w:val="Normal"/>
    <w:next w:val="Normal"/>
    <w:qFormat/>
    <w:rsid w:val="00A17B0F"/>
    <w:pPr>
      <w:spacing w:before="240"/>
      <w:jc w:val="both"/>
      <w:outlineLvl w:val="0"/>
    </w:pPr>
    <w:rPr>
      <w:rFonts w:ascii="Arial" w:hAnsi="Arial"/>
      <w:b/>
      <w:sz w:val="20"/>
      <w:szCs w:val="20"/>
      <w:u w:val="single"/>
      <w:lang w:eastAsia="en-US"/>
    </w:rPr>
  </w:style>
  <w:style w:type="paragraph" w:styleId="Heading2">
    <w:name w:val="heading 2"/>
    <w:basedOn w:val="Normal"/>
    <w:next w:val="Normal"/>
    <w:uiPriority w:val="9"/>
    <w:qFormat/>
    <w:rsid w:val="00A17B0F"/>
    <w:pPr>
      <w:spacing w:before="120"/>
      <w:jc w:val="both"/>
      <w:outlineLvl w:val="1"/>
    </w:pPr>
    <w:rPr>
      <w:rFonts w:ascii="Arial" w:hAnsi="Arial"/>
      <w:b/>
      <w:sz w:val="20"/>
      <w:szCs w:val="20"/>
      <w:lang w:eastAsia="en-US"/>
    </w:rPr>
  </w:style>
  <w:style w:type="paragraph" w:styleId="Heading3">
    <w:name w:val="heading 3"/>
    <w:basedOn w:val="Normal"/>
    <w:next w:val="NormalIndent"/>
    <w:uiPriority w:val="9"/>
    <w:qFormat/>
    <w:rsid w:val="00A17B0F"/>
    <w:pPr>
      <w:ind w:left="360"/>
      <w:jc w:val="both"/>
      <w:outlineLvl w:val="2"/>
    </w:pPr>
    <w:rPr>
      <w:b/>
      <w:sz w:val="20"/>
      <w:szCs w:val="20"/>
      <w:lang w:eastAsia="en-US"/>
    </w:rPr>
  </w:style>
  <w:style w:type="paragraph" w:styleId="Heading4">
    <w:name w:val="heading 4"/>
    <w:basedOn w:val="Normal"/>
    <w:next w:val="NormalIndent"/>
    <w:uiPriority w:val="9"/>
    <w:qFormat/>
    <w:rsid w:val="00A17B0F"/>
    <w:pPr>
      <w:ind w:left="360"/>
      <w:jc w:val="both"/>
      <w:outlineLvl w:val="3"/>
    </w:pPr>
    <w:rPr>
      <w:sz w:val="20"/>
      <w:szCs w:val="20"/>
      <w:u w:val="single"/>
      <w:lang w:eastAsia="en-US"/>
    </w:rPr>
  </w:style>
  <w:style w:type="paragraph" w:styleId="Heading5">
    <w:name w:val="heading 5"/>
    <w:basedOn w:val="Normal"/>
    <w:next w:val="NormalIndent"/>
    <w:uiPriority w:val="9"/>
    <w:qFormat/>
    <w:rsid w:val="00A17B0F"/>
    <w:pPr>
      <w:ind w:left="720"/>
      <w:jc w:val="both"/>
      <w:outlineLvl w:val="4"/>
    </w:pPr>
    <w:rPr>
      <w:b/>
      <w:sz w:val="20"/>
      <w:szCs w:val="20"/>
      <w:lang w:eastAsia="en-US"/>
    </w:rPr>
  </w:style>
  <w:style w:type="paragraph" w:styleId="Heading6">
    <w:name w:val="heading 6"/>
    <w:basedOn w:val="Normal"/>
    <w:next w:val="NormalIndent"/>
    <w:uiPriority w:val="9"/>
    <w:qFormat/>
    <w:rsid w:val="00A17B0F"/>
    <w:pPr>
      <w:ind w:left="720"/>
      <w:jc w:val="both"/>
      <w:outlineLvl w:val="5"/>
    </w:pPr>
    <w:rPr>
      <w:sz w:val="20"/>
      <w:szCs w:val="20"/>
      <w:u w:val="single"/>
      <w:lang w:eastAsia="en-US"/>
    </w:rPr>
  </w:style>
  <w:style w:type="paragraph" w:styleId="Heading7">
    <w:name w:val="heading 7"/>
    <w:basedOn w:val="Normal"/>
    <w:next w:val="NormalIndent"/>
    <w:uiPriority w:val="9"/>
    <w:qFormat/>
    <w:rsid w:val="00A17B0F"/>
    <w:pPr>
      <w:ind w:left="720"/>
      <w:jc w:val="both"/>
      <w:outlineLvl w:val="6"/>
    </w:pPr>
    <w:rPr>
      <w:i/>
      <w:sz w:val="20"/>
      <w:szCs w:val="20"/>
      <w:lang w:eastAsia="en-US"/>
    </w:rPr>
  </w:style>
  <w:style w:type="paragraph" w:styleId="Heading8">
    <w:name w:val="heading 8"/>
    <w:basedOn w:val="Normal"/>
    <w:next w:val="NormalIndent"/>
    <w:uiPriority w:val="9"/>
    <w:qFormat/>
    <w:rsid w:val="00A17B0F"/>
    <w:pPr>
      <w:ind w:left="720"/>
      <w:jc w:val="both"/>
      <w:outlineLvl w:val="7"/>
    </w:pPr>
    <w:rPr>
      <w:i/>
      <w:sz w:val="20"/>
      <w:szCs w:val="20"/>
      <w:lang w:eastAsia="en-US"/>
    </w:rPr>
  </w:style>
  <w:style w:type="paragraph" w:styleId="Heading9">
    <w:name w:val="heading 9"/>
    <w:basedOn w:val="Normal"/>
    <w:next w:val="NormalIndent"/>
    <w:uiPriority w:val="9"/>
    <w:qFormat/>
    <w:rsid w:val="00A17B0F"/>
    <w:pPr>
      <w:ind w:left="720"/>
      <w:jc w:val="both"/>
      <w:outlineLvl w:val="8"/>
    </w:pPr>
    <w:rPr>
      <w:i/>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A17B0F"/>
    <w:pPr>
      <w:ind w:left="720"/>
      <w:jc w:val="both"/>
    </w:pPr>
    <w:rPr>
      <w:rFonts w:ascii="RomanEES" w:hAnsi="RomanEES"/>
      <w:sz w:val="20"/>
      <w:szCs w:val="20"/>
      <w:lang w:eastAsia="en-US"/>
    </w:rPr>
  </w:style>
  <w:style w:type="paragraph" w:styleId="Header">
    <w:name w:val="header"/>
    <w:basedOn w:val="Normal"/>
    <w:link w:val="HeaderChar"/>
    <w:uiPriority w:val="99"/>
    <w:rsid w:val="00C614A6"/>
    <w:pPr>
      <w:tabs>
        <w:tab w:val="center" w:pos="4536"/>
        <w:tab w:val="right" w:pos="9072"/>
      </w:tabs>
    </w:pPr>
  </w:style>
  <w:style w:type="paragraph" w:styleId="Footer">
    <w:name w:val="footer"/>
    <w:basedOn w:val="Normal"/>
    <w:uiPriority w:val="99"/>
    <w:rsid w:val="00C614A6"/>
    <w:pPr>
      <w:tabs>
        <w:tab w:val="center" w:pos="4536"/>
        <w:tab w:val="right" w:pos="9072"/>
      </w:tabs>
    </w:pPr>
  </w:style>
  <w:style w:type="character" w:styleId="Hyperlink">
    <w:name w:val="Hyperlink"/>
    <w:rsid w:val="00EB07B1"/>
    <w:rPr>
      <w:color w:val="0000FF"/>
      <w:u w:val="single"/>
    </w:rPr>
  </w:style>
  <w:style w:type="character" w:styleId="FollowedHyperlink">
    <w:name w:val="FollowedHyperlink"/>
    <w:rsid w:val="00EB07B1"/>
    <w:rPr>
      <w:color w:val="800080"/>
      <w:u w:val="single"/>
    </w:rPr>
  </w:style>
  <w:style w:type="character" w:styleId="PageNumber">
    <w:name w:val="page number"/>
    <w:basedOn w:val="DefaultParagraphFont"/>
    <w:rsid w:val="00356330"/>
  </w:style>
  <w:style w:type="paragraph" w:customStyle="1" w:styleId="NormlnyArial">
    <w:name w:val="Normálny + Arial"/>
    <w:aliases w:val="10 pt,Podľa okraja"/>
    <w:basedOn w:val="Normal"/>
    <w:rsid w:val="00476505"/>
    <w:pPr>
      <w:jc w:val="both"/>
    </w:pPr>
    <w:rPr>
      <w:rFonts w:ascii="Arial" w:hAnsi="Arial" w:cs="Arial"/>
      <w:sz w:val="20"/>
    </w:rPr>
  </w:style>
  <w:style w:type="paragraph" w:styleId="BodyText2">
    <w:name w:val="Body Text 2"/>
    <w:basedOn w:val="Normal"/>
    <w:rsid w:val="00076FB2"/>
    <w:pPr>
      <w:tabs>
        <w:tab w:val="left" w:pos="3600"/>
        <w:tab w:val="left" w:pos="6480"/>
      </w:tabs>
      <w:overflowPunct w:val="0"/>
      <w:autoSpaceDE w:val="0"/>
      <w:autoSpaceDN w:val="0"/>
      <w:adjustRightInd w:val="0"/>
      <w:ind w:left="720" w:hanging="11"/>
      <w:jc w:val="both"/>
      <w:textAlignment w:val="baseline"/>
    </w:pPr>
    <w:rPr>
      <w:rFonts w:ascii="Times" w:hAnsi="Times" w:cs="Times"/>
      <w:sz w:val="20"/>
      <w:szCs w:val="20"/>
    </w:rPr>
  </w:style>
  <w:style w:type="paragraph" w:styleId="BodyTextIndent3">
    <w:name w:val="Body Text Indent 3"/>
    <w:basedOn w:val="Normal"/>
    <w:rsid w:val="00BB7E51"/>
    <w:pPr>
      <w:spacing w:after="120"/>
      <w:ind w:left="283"/>
      <w:jc w:val="both"/>
    </w:pPr>
    <w:rPr>
      <w:rFonts w:ascii="RomanEES" w:hAnsi="RomanEES"/>
      <w:sz w:val="16"/>
      <w:szCs w:val="16"/>
      <w:lang w:eastAsia="en-US"/>
    </w:rPr>
  </w:style>
  <w:style w:type="paragraph" w:customStyle="1" w:styleId="Lettertext">
    <w:name w:val="Letter text"/>
    <w:basedOn w:val="Normal"/>
    <w:rsid w:val="00BB7E51"/>
    <w:pPr>
      <w:widowControl w:val="0"/>
      <w:tabs>
        <w:tab w:val="left" w:pos="567"/>
      </w:tabs>
      <w:spacing w:after="240"/>
      <w:ind w:left="454"/>
    </w:pPr>
    <w:rPr>
      <w:rFonts w:ascii="Arial" w:hAnsi="Arial"/>
      <w:snapToGrid w:val="0"/>
      <w:sz w:val="16"/>
      <w:szCs w:val="20"/>
      <w:lang w:val="en-GB" w:eastAsia="en-US"/>
    </w:rPr>
  </w:style>
  <w:style w:type="paragraph" w:customStyle="1" w:styleId="000Normal">
    <w:name w:val="000 Normal"/>
    <w:basedOn w:val="Normal"/>
    <w:rsid w:val="00BB7E51"/>
    <w:pPr>
      <w:overflowPunct w:val="0"/>
      <w:autoSpaceDE w:val="0"/>
      <w:autoSpaceDN w:val="0"/>
      <w:adjustRightInd w:val="0"/>
      <w:spacing w:before="60" w:after="40" w:line="220" w:lineRule="exact"/>
      <w:jc w:val="both"/>
      <w:textAlignment w:val="baseline"/>
    </w:pPr>
    <w:rPr>
      <w:rFonts w:ascii="Garamond" w:hAnsi="Garamond"/>
      <w:sz w:val="20"/>
      <w:szCs w:val="20"/>
      <w:lang w:val="en-GB" w:eastAsia="en-US"/>
    </w:rPr>
  </w:style>
  <w:style w:type="paragraph" w:customStyle="1" w:styleId="Normaltext">
    <w:name w:val="Normal text"/>
    <w:basedOn w:val="Normal"/>
    <w:rsid w:val="00BB7E51"/>
    <w:pPr>
      <w:overflowPunct w:val="0"/>
      <w:autoSpaceDE w:val="0"/>
      <w:autoSpaceDN w:val="0"/>
      <w:adjustRightInd w:val="0"/>
      <w:spacing w:line="240" w:lineRule="atLeast"/>
      <w:ind w:right="568"/>
      <w:jc w:val="both"/>
      <w:textAlignment w:val="baseline"/>
    </w:pPr>
    <w:rPr>
      <w:lang w:val="en-GB" w:eastAsia="en-US"/>
    </w:rPr>
  </w:style>
  <w:style w:type="paragraph" w:customStyle="1" w:styleId="Notetext">
    <w:name w:val="Note text"/>
    <w:basedOn w:val="Normal"/>
    <w:rsid w:val="00BB7E51"/>
    <w:pPr>
      <w:widowControl w:val="0"/>
      <w:tabs>
        <w:tab w:val="left" w:pos="0"/>
      </w:tabs>
      <w:spacing w:after="240"/>
      <w:jc w:val="both"/>
    </w:pPr>
    <w:rPr>
      <w:rFonts w:ascii="Arial" w:hAnsi="Arial"/>
      <w:snapToGrid w:val="0"/>
      <w:color w:val="FF0000"/>
      <w:sz w:val="16"/>
      <w:szCs w:val="20"/>
      <w:lang w:val="en-GB" w:eastAsia="en-US"/>
    </w:rPr>
  </w:style>
  <w:style w:type="paragraph" w:styleId="BodyText">
    <w:name w:val="Body Text"/>
    <w:basedOn w:val="Normal"/>
    <w:rsid w:val="00B36751"/>
    <w:pPr>
      <w:spacing w:after="120"/>
    </w:pPr>
  </w:style>
  <w:style w:type="paragraph" w:styleId="BodyTextIndent2">
    <w:name w:val="Body Text Indent 2"/>
    <w:basedOn w:val="Normal"/>
    <w:rsid w:val="00CC24B5"/>
    <w:pPr>
      <w:spacing w:after="120" w:line="480" w:lineRule="auto"/>
      <w:ind w:left="283"/>
      <w:jc w:val="both"/>
    </w:pPr>
    <w:rPr>
      <w:rFonts w:ascii="RomanEES" w:hAnsi="RomanEES"/>
      <w:szCs w:val="20"/>
      <w:lang w:val="en-US" w:eastAsia="en-US"/>
    </w:rPr>
  </w:style>
  <w:style w:type="character" w:styleId="CommentReference">
    <w:name w:val="annotation reference"/>
    <w:semiHidden/>
    <w:rsid w:val="006073E2"/>
    <w:rPr>
      <w:sz w:val="16"/>
      <w:szCs w:val="16"/>
    </w:rPr>
  </w:style>
  <w:style w:type="paragraph" w:styleId="CommentText">
    <w:name w:val="annotation text"/>
    <w:basedOn w:val="Normal"/>
    <w:semiHidden/>
    <w:rsid w:val="006073E2"/>
    <w:rPr>
      <w:sz w:val="20"/>
      <w:szCs w:val="20"/>
    </w:rPr>
  </w:style>
  <w:style w:type="paragraph" w:styleId="CommentSubject">
    <w:name w:val="annotation subject"/>
    <w:basedOn w:val="CommentText"/>
    <w:next w:val="CommentText"/>
    <w:semiHidden/>
    <w:rsid w:val="006073E2"/>
    <w:rPr>
      <w:b/>
      <w:bCs/>
    </w:rPr>
  </w:style>
  <w:style w:type="paragraph" w:styleId="BalloonText">
    <w:name w:val="Balloon Text"/>
    <w:basedOn w:val="Normal"/>
    <w:semiHidden/>
    <w:rsid w:val="006073E2"/>
    <w:rPr>
      <w:rFonts w:ascii="Tahoma" w:hAnsi="Tahoma" w:cs="Tahoma"/>
      <w:sz w:val="16"/>
      <w:szCs w:val="16"/>
    </w:rPr>
  </w:style>
  <w:style w:type="paragraph" w:styleId="FootnoteText">
    <w:name w:val="footnote text"/>
    <w:basedOn w:val="Normal"/>
    <w:semiHidden/>
    <w:rsid w:val="00A17B0F"/>
    <w:pPr>
      <w:jc w:val="both"/>
    </w:pPr>
    <w:rPr>
      <w:rFonts w:ascii="RomanEES" w:hAnsi="RomanEES"/>
      <w:sz w:val="20"/>
      <w:szCs w:val="20"/>
      <w:lang w:eastAsia="en-US"/>
    </w:rPr>
  </w:style>
  <w:style w:type="paragraph" w:customStyle="1" w:styleId="S">
    <w:name w:val="S"/>
    <w:basedOn w:val="Normal"/>
    <w:rsid w:val="00A17B0F"/>
    <w:pPr>
      <w:tabs>
        <w:tab w:val="left" w:pos="1134"/>
        <w:tab w:val="right" w:pos="4820"/>
        <w:tab w:val="right" w:pos="6521"/>
        <w:tab w:val="right" w:pos="8222"/>
      </w:tabs>
      <w:jc w:val="both"/>
    </w:pPr>
    <w:rPr>
      <w:rFonts w:ascii="RomanEES" w:hAnsi="RomanEES"/>
      <w:b/>
      <w:sz w:val="20"/>
      <w:szCs w:val="20"/>
      <w:lang w:eastAsia="en-US"/>
    </w:rPr>
  </w:style>
  <w:style w:type="paragraph" w:customStyle="1" w:styleId="CoverInformation">
    <w:name w:val="Cover Information"/>
    <w:basedOn w:val="Normal"/>
    <w:rsid w:val="00A17B0F"/>
    <w:pPr>
      <w:framePr w:w="4536" w:hSpace="180" w:wrap="auto" w:vAnchor="page" w:hAnchor="page" w:x="3601" w:y="14422"/>
      <w:spacing w:line="260" w:lineRule="exact"/>
      <w:ind w:left="520"/>
    </w:pPr>
    <w:rPr>
      <w:rFonts w:ascii="MS Serif" w:hAnsi="MS Serif"/>
      <w:noProof/>
      <w:sz w:val="22"/>
      <w:szCs w:val="20"/>
      <w:lang w:eastAsia="en-US"/>
    </w:rPr>
  </w:style>
  <w:style w:type="paragraph" w:styleId="DocumentMap">
    <w:name w:val="Document Map"/>
    <w:basedOn w:val="Normal"/>
    <w:semiHidden/>
    <w:rsid w:val="00A17B0F"/>
    <w:pPr>
      <w:shd w:val="clear" w:color="auto" w:fill="000080"/>
      <w:jc w:val="both"/>
    </w:pPr>
    <w:rPr>
      <w:rFonts w:ascii="Tahoma" w:hAnsi="Tahoma"/>
      <w:sz w:val="20"/>
      <w:szCs w:val="20"/>
      <w:lang w:eastAsia="en-US"/>
    </w:rPr>
  </w:style>
  <w:style w:type="paragraph" w:styleId="BodyText3">
    <w:name w:val="Body Text 3"/>
    <w:basedOn w:val="Normal"/>
    <w:rsid w:val="00A17B0F"/>
    <w:pPr>
      <w:tabs>
        <w:tab w:val="left" w:pos="1168"/>
        <w:tab w:val="right" w:pos="4820"/>
        <w:tab w:val="right" w:pos="6521"/>
        <w:tab w:val="right" w:pos="8222"/>
      </w:tabs>
      <w:ind w:right="35"/>
      <w:jc w:val="right"/>
    </w:pPr>
    <w:rPr>
      <w:sz w:val="20"/>
      <w:szCs w:val="20"/>
      <w:lang w:val="en-GB" w:eastAsia="en-US"/>
    </w:rPr>
  </w:style>
  <w:style w:type="paragraph" w:styleId="BodyTextIndent">
    <w:name w:val="Body Text Indent"/>
    <w:basedOn w:val="Normal"/>
    <w:rsid w:val="00A17B0F"/>
    <w:pPr>
      <w:ind w:left="567"/>
      <w:jc w:val="both"/>
    </w:pPr>
    <w:rPr>
      <w:rFonts w:ascii="RomanEES" w:hAnsi="RomanEES"/>
      <w:sz w:val="20"/>
      <w:szCs w:val="20"/>
      <w:lang w:eastAsia="en-US"/>
    </w:rPr>
  </w:style>
  <w:style w:type="paragraph" w:customStyle="1" w:styleId="BalloonText1">
    <w:name w:val="Balloon Text1"/>
    <w:basedOn w:val="Normal"/>
    <w:semiHidden/>
    <w:rsid w:val="00A17B0F"/>
    <w:pPr>
      <w:jc w:val="both"/>
    </w:pPr>
    <w:rPr>
      <w:rFonts w:ascii="Tahoma" w:hAnsi="Tahoma" w:cs="Tahoma"/>
      <w:sz w:val="16"/>
      <w:szCs w:val="16"/>
      <w:lang w:eastAsia="en-US"/>
    </w:rPr>
  </w:style>
  <w:style w:type="character" w:customStyle="1" w:styleId="StyleTimesNewRoman11pt">
    <w:name w:val="Style Times New Roman 11 pt"/>
    <w:rsid w:val="00A17B0F"/>
    <w:rPr>
      <w:rFonts w:ascii="Times New Roman" w:hAnsi="Times New Roman"/>
      <w:sz w:val="20"/>
    </w:rPr>
  </w:style>
  <w:style w:type="paragraph" w:customStyle="1" w:styleId="StyleBodyText11pt">
    <w:name w:val="Style Body Text + 11 pt"/>
    <w:basedOn w:val="BodyText"/>
    <w:rsid w:val="00A17B0F"/>
    <w:pPr>
      <w:tabs>
        <w:tab w:val="left" w:pos="0"/>
      </w:tabs>
      <w:spacing w:after="0"/>
    </w:pPr>
    <w:rPr>
      <w:sz w:val="20"/>
      <w:szCs w:val="20"/>
      <w:lang w:eastAsia="en-US"/>
    </w:rPr>
  </w:style>
  <w:style w:type="paragraph" w:customStyle="1" w:styleId="StyleTimesNewRoman11ptLeft">
    <w:name w:val="Style Times New Roman 11 pt Left"/>
    <w:basedOn w:val="Normal"/>
    <w:rsid w:val="00A17B0F"/>
    <w:rPr>
      <w:sz w:val="20"/>
      <w:szCs w:val="20"/>
      <w:lang w:eastAsia="en-US"/>
    </w:rPr>
  </w:style>
  <w:style w:type="paragraph" w:customStyle="1" w:styleId="StyleTimesNewRoman11ptLeftLeft0Hanging01">
    <w:name w:val="Style Times New Roman 11 pt Left Left:  0&quot; Hanging:  01&quot;"/>
    <w:basedOn w:val="Normal"/>
    <w:autoRedefine/>
    <w:rsid w:val="00A17B0F"/>
    <w:pPr>
      <w:ind w:left="149" w:hanging="149"/>
    </w:pPr>
    <w:rPr>
      <w:sz w:val="20"/>
      <w:szCs w:val="20"/>
      <w:lang w:eastAsia="en-US"/>
    </w:rPr>
  </w:style>
  <w:style w:type="paragraph" w:customStyle="1" w:styleId="StyleFooterTimesNewRoman10pt">
    <w:name w:val="Style Footer + Times New Roman 10 pt"/>
    <w:basedOn w:val="Footer"/>
    <w:rsid w:val="00A17B0F"/>
    <w:pPr>
      <w:tabs>
        <w:tab w:val="clear" w:pos="4536"/>
        <w:tab w:val="clear" w:pos="9072"/>
        <w:tab w:val="center" w:pos="4320"/>
        <w:tab w:val="right" w:pos="8640"/>
      </w:tabs>
      <w:jc w:val="both"/>
    </w:pPr>
    <w:rPr>
      <w:sz w:val="20"/>
      <w:szCs w:val="20"/>
      <w:lang w:eastAsia="en-US"/>
    </w:rPr>
  </w:style>
  <w:style w:type="character" w:customStyle="1" w:styleId="FooterChar">
    <w:name w:val="Footer Char"/>
    <w:uiPriority w:val="99"/>
    <w:rsid w:val="00A17B0F"/>
    <w:rPr>
      <w:rFonts w:ascii="RomanEES" w:hAnsi="RomanEES"/>
      <w:sz w:val="24"/>
      <w:lang w:val="en-US" w:eastAsia="en-US" w:bidi="ar-SA"/>
    </w:rPr>
  </w:style>
  <w:style w:type="character" w:customStyle="1" w:styleId="StyleFooterTimesNewRoman10ptChar">
    <w:name w:val="Style Footer + Times New Roman 10 pt Char"/>
    <w:basedOn w:val="FooterChar"/>
    <w:rsid w:val="00A17B0F"/>
    <w:rPr>
      <w:rFonts w:ascii="RomanEES" w:hAnsi="RomanEES"/>
      <w:sz w:val="24"/>
      <w:lang w:val="en-US" w:eastAsia="en-US" w:bidi="ar-SA"/>
    </w:rPr>
  </w:style>
  <w:style w:type="character" w:customStyle="1" w:styleId="Style11pt">
    <w:name w:val="Style 11 pt"/>
    <w:rsid w:val="00A17B0F"/>
    <w:rPr>
      <w:sz w:val="20"/>
    </w:rPr>
  </w:style>
  <w:style w:type="paragraph" w:customStyle="1" w:styleId="StyleBodyTextIndent11pt">
    <w:name w:val="Style Body Text Indent + 11 pt"/>
    <w:basedOn w:val="BodyTextIndent"/>
    <w:rsid w:val="00A17B0F"/>
  </w:style>
  <w:style w:type="paragraph" w:customStyle="1" w:styleId="Style11ptLeft039">
    <w:name w:val="Style 11 pt Left:  039&quot;"/>
    <w:basedOn w:val="Normal"/>
    <w:rsid w:val="00A17B0F"/>
    <w:pPr>
      <w:ind w:left="555"/>
      <w:jc w:val="both"/>
    </w:pPr>
    <w:rPr>
      <w:rFonts w:ascii="RomanEES" w:hAnsi="RomanEES"/>
      <w:sz w:val="20"/>
      <w:szCs w:val="20"/>
      <w:lang w:eastAsia="en-US"/>
    </w:rPr>
  </w:style>
  <w:style w:type="paragraph" w:customStyle="1" w:styleId="StyleTimesNewRoman11ptLeft039">
    <w:name w:val="Style Times New Roman 11 pt Left:  039&quot;"/>
    <w:basedOn w:val="Normal"/>
    <w:autoRedefine/>
    <w:rsid w:val="00A17B0F"/>
    <w:pPr>
      <w:jc w:val="both"/>
    </w:pPr>
    <w:rPr>
      <w:sz w:val="20"/>
      <w:szCs w:val="20"/>
      <w:lang w:eastAsia="en-US"/>
    </w:rPr>
  </w:style>
  <w:style w:type="paragraph" w:customStyle="1" w:styleId="StyleBodyTextIndent211pt">
    <w:name w:val="Style Body Text Indent 2 + 11 pt"/>
    <w:basedOn w:val="BodyTextIndent2"/>
    <w:autoRedefine/>
    <w:rsid w:val="00A17B0F"/>
    <w:pPr>
      <w:tabs>
        <w:tab w:val="left" w:pos="1134"/>
        <w:tab w:val="right" w:pos="4820"/>
        <w:tab w:val="right" w:pos="6521"/>
        <w:tab w:val="right" w:pos="8222"/>
      </w:tabs>
      <w:spacing w:after="0" w:line="240" w:lineRule="auto"/>
      <w:ind w:left="567" w:hanging="567"/>
    </w:pPr>
    <w:rPr>
      <w:rFonts w:ascii="Times New Roman" w:hAnsi="Times New Roman"/>
      <w:sz w:val="20"/>
      <w:lang w:val="sk-SK"/>
    </w:rPr>
  </w:style>
  <w:style w:type="paragraph" w:customStyle="1" w:styleId="StyleFooter11pt">
    <w:name w:val="Style Footer + 11 pt"/>
    <w:basedOn w:val="Footer"/>
    <w:rsid w:val="00A17B0F"/>
    <w:pPr>
      <w:tabs>
        <w:tab w:val="clear" w:pos="4536"/>
        <w:tab w:val="clear" w:pos="9072"/>
        <w:tab w:val="center" w:pos="4320"/>
        <w:tab w:val="right" w:pos="8640"/>
      </w:tabs>
      <w:jc w:val="both"/>
    </w:pPr>
    <w:rPr>
      <w:rFonts w:ascii="RomanEES" w:hAnsi="RomanEES"/>
      <w:sz w:val="20"/>
      <w:szCs w:val="20"/>
      <w:lang w:eastAsia="en-US"/>
    </w:rPr>
  </w:style>
  <w:style w:type="paragraph" w:customStyle="1" w:styleId="StyleFooterTimesNewRoman11pt">
    <w:name w:val="Style Footer + Times New Roman 11 pt"/>
    <w:basedOn w:val="Footer"/>
    <w:rsid w:val="00A17B0F"/>
    <w:pPr>
      <w:tabs>
        <w:tab w:val="clear" w:pos="4536"/>
        <w:tab w:val="clear" w:pos="9072"/>
        <w:tab w:val="center" w:pos="4320"/>
        <w:tab w:val="right" w:pos="8640"/>
      </w:tabs>
      <w:jc w:val="both"/>
    </w:pPr>
    <w:rPr>
      <w:sz w:val="20"/>
      <w:szCs w:val="20"/>
      <w:lang w:eastAsia="en-US"/>
    </w:rPr>
  </w:style>
  <w:style w:type="character" w:customStyle="1" w:styleId="StyleFooterTimesNewRoman11ptChar">
    <w:name w:val="Style Footer + Times New Roman 11 pt Char"/>
    <w:basedOn w:val="FooterChar"/>
    <w:rsid w:val="00A17B0F"/>
    <w:rPr>
      <w:rFonts w:ascii="RomanEES" w:hAnsi="RomanEES"/>
      <w:sz w:val="24"/>
      <w:lang w:val="en-US" w:eastAsia="en-US" w:bidi="ar-SA"/>
    </w:rPr>
  </w:style>
  <w:style w:type="paragraph" w:customStyle="1" w:styleId="StyleTimesNewRoman11ptRight">
    <w:name w:val="Style Times New Roman 11 pt Right"/>
    <w:basedOn w:val="Normal"/>
    <w:rsid w:val="00A17B0F"/>
    <w:pPr>
      <w:jc w:val="right"/>
    </w:pPr>
    <w:rPr>
      <w:sz w:val="20"/>
      <w:szCs w:val="20"/>
      <w:lang w:eastAsia="en-US"/>
    </w:rPr>
  </w:style>
  <w:style w:type="paragraph" w:customStyle="1" w:styleId="StyleTimesNewRoman11ptLeftLeft006Hanging019">
    <w:name w:val="Style Times New Roman 11 pt Left Left:  006&quot; Hanging:  019&quot;"/>
    <w:basedOn w:val="Normal"/>
    <w:rsid w:val="00A17B0F"/>
    <w:pPr>
      <w:ind w:left="360" w:hanging="270"/>
    </w:pPr>
    <w:rPr>
      <w:sz w:val="20"/>
      <w:szCs w:val="20"/>
      <w:lang w:eastAsia="en-US"/>
    </w:rPr>
  </w:style>
  <w:style w:type="paragraph" w:customStyle="1" w:styleId="StyleTimesNewRoman11ptLeftLeft006">
    <w:name w:val="Style Times New Roman 11 pt Left Left:  006&quot;"/>
    <w:basedOn w:val="Normal"/>
    <w:rsid w:val="00A17B0F"/>
    <w:pPr>
      <w:ind w:left="90"/>
    </w:pPr>
    <w:rPr>
      <w:sz w:val="20"/>
      <w:szCs w:val="20"/>
      <w:lang w:eastAsia="en-US"/>
    </w:rPr>
  </w:style>
  <w:style w:type="paragraph" w:customStyle="1" w:styleId="StyleTimesNewRoman11ptLeftLeft0Hanging025">
    <w:name w:val="Style Times New Roman 11 pt Left Left:  0&quot; Hanging:  025&quot;"/>
    <w:basedOn w:val="Normal"/>
    <w:rsid w:val="00A17B0F"/>
    <w:pPr>
      <w:ind w:left="360" w:hanging="360"/>
    </w:pPr>
    <w:rPr>
      <w:sz w:val="20"/>
      <w:szCs w:val="20"/>
      <w:lang w:eastAsia="en-US"/>
    </w:rPr>
  </w:style>
  <w:style w:type="paragraph" w:customStyle="1" w:styleId="StyleTimesNewRoman11ptLeft-011Firstline01">
    <w:name w:val="Style Times New Roman 11 pt Left:  -011&quot; First line:  01&quot;"/>
    <w:basedOn w:val="Normal"/>
    <w:rsid w:val="00A17B0F"/>
    <w:pPr>
      <w:ind w:left="-162" w:firstLine="142"/>
      <w:jc w:val="both"/>
    </w:pPr>
    <w:rPr>
      <w:sz w:val="20"/>
      <w:szCs w:val="20"/>
      <w:lang w:eastAsia="en-US"/>
    </w:rPr>
  </w:style>
  <w:style w:type="paragraph" w:customStyle="1" w:styleId="StyleTimesNewRoman11ptRightRight-004">
    <w:name w:val="Style Times New Roman 11 pt Right Right:  -004&quot;"/>
    <w:basedOn w:val="Normal"/>
    <w:rsid w:val="00A17B0F"/>
    <w:pPr>
      <w:ind w:right="-54"/>
      <w:jc w:val="right"/>
    </w:pPr>
    <w:rPr>
      <w:sz w:val="20"/>
      <w:szCs w:val="20"/>
      <w:lang w:eastAsia="en-US"/>
    </w:rPr>
  </w:style>
  <w:style w:type="paragraph" w:customStyle="1" w:styleId="Style11ptLeft002">
    <w:name w:val="Style 11 pt Left:  002&quot;"/>
    <w:basedOn w:val="Normal"/>
    <w:rsid w:val="00A17B0F"/>
    <w:pPr>
      <w:ind w:left="34"/>
      <w:jc w:val="both"/>
    </w:pPr>
    <w:rPr>
      <w:rFonts w:ascii="RomanEES" w:hAnsi="RomanEES"/>
      <w:sz w:val="20"/>
      <w:szCs w:val="20"/>
      <w:lang w:eastAsia="en-US"/>
    </w:rPr>
  </w:style>
  <w:style w:type="paragraph" w:customStyle="1" w:styleId="StyleTimesNewRoman11ptLeftLeft013">
    <w:name w:val="Style Times New Roman 11 pt Left Left:  013&quot;"/>
    <w:basedOn w:val="Normal"/>
    <w:rsid w:val="00A17B0F"/>
    <w:pPr>
      <w:ind w:left="180"/>
    </w:pPr>
    <w:rPr>
      <w:sz w:val="20"/>
      <w:szCs w:val="20"/>
      <w:lang w:eastAsia="en-US"/>
    </w:rPr>
  </w:style>
  <w:style w:type="paragraph" w:customStyle="1" w:styleId="StyleTimesNewRoman11ptRightRight-005">
    <w:name w:val="Style Times New Roman 11 pt Right Right:  -005&quot;"/>
    <w:basedOn w:val="Normal"/>
    <w:rsid w:val="00A17B0F"/>
    <w:pPr>
      <w:ind w:right="-74"/>
      <w:jc w:val="right"/>
    </w:pPr>
    <w:rPr>
      <w:sz w:val="20"/>
      <w:szCs w:val="20"/>
      <w:lang w:eastAsia="en-US"/>
    </w:rPr>
  </w:style>
  <w:style w:type="paragraph" w:customStyle="1" w:styleId="StyleTimesNewRoman11ptRightRight-0041">
    <w:name w:val="Style Times New Roman 11 pt Right Right:  -004&quot;1"/>
    <w:basedOn w:val="Normal"/>
    <w:rsid w:val="00A17B0F"/>
    <w:pPr>
      <w:ind w:right="-57"/>
      <w:jc w:val="right"/>
    </w:pPr>
    <w:rPr>
      <w:sz w:val="20"/>
      <w:szCs w:val="20"/>
      <w:lang w:eastAsia="en-US"/>
    </w:rPr>
  </w:style>
  <w:style w:type="paragraph" w:customStyle="1" w:styleId="CommentSubject1">
    <w:name w:val="Comment Subject1"/>
    <w:basedOn w:val="CommentText"/>
    <w:next w:val="CommentText"/>
    <w:semiHidden/>
    <w:rsid w:val="00A17B0F"/>
    <w:pPr>
      <w:jc w:val="both"/>
    </w:pPr>
    <w:rPr>
      <w:rFonts w:ascii="RomanEES" w:hAnsi="RomanEES"/>
      <w:b/>
      <w:bCs/>
      <w:lang w:eastAsia="en-US"/>
    </w:rPr>
  </w:style>
  <w:style w:type="paragraph" w:customStyle="1" w:styleId="AuditBodyab">
    <w:name w:val="AuditBody.ab"/>
    <w:basedOn w:val="Normal"/>
    <w:rsid w:val="00A17B0F"/>
    <w:pPr>
      <w:autoSpaceDE w:val="0"/>
      <w:autoSpaceDN w:val="0"/>
      <w:spacing w:before="80" w:after="80" w:line="240" w:lineRule="atLeast"/>
      <w:jc w:val="both"/>
    </w:pPr>
    <w:rPr>
      <w:rFonts w:ascii="Helvetica" w:hAnsi="Helvetica" w:cs="Helvetica"/>
      <w:sz w:val="20"/>
      <w:szCs w:val="20"/>
      <w:lang w:eastAsia="en-US"/>
    </w:rPr>
  </w:style>
  <w:style w:type="paragraph" w:customStyle="1" w:styleId="oo">
    <w:name w:val="oo"/>
    <w:basedOn w:val="Normal"/>
    <w:rsid w:val="00A17B0F"/>
    <w:pPr>
      <w:widowControl w:val="0"/>
      <w:autoSpaceDE w:val="0"/>
      <w:autoSpaceDN w:val="0"/>
      <w:ind w:left="432" w:hanging="432"/>
      <w:jc w:val="both"/>
    </w:pPr>
    <w:rPr>
      <w:rFonts w:ascii="Times" w:hAnsi="Times" w:cs="Arial Unicode MS"/>
      <w:sz w:val="20"/>
      <w:szCs w:val="20"/>
      <w:lang w:val="en-US" w:eastAsia="en-US"/>
    </w:rPr>
  </w:style>
  <w:style w:type="paragraph" w:customStyle="1" w:styleId="nadpis3">
    <w:name w:val="nadpis 3"/>
    <w:basedOn w:val="Normal"/>
    <w:rsid w:val="00A17B0F"/>
    <w:pPr>
      <w:autoSpaceDE w:val="0"/>
      <w:autoSpaceDN w:val="0"/>
      <w:spacing w:line="360" w:lineRule="atLeast"/>
      <w:ind w:left="709" w:right="18" w:hanging="709"/>
      <w:jc w:val="both"/>
    </w:pPr>
    <w:rPr>
      <w:rFonts w:ascii="Times" w:hAnsi="Times" w:cs="Arial Unicode MS"/>
      <w:lang w:eastAsia="en-US"/>
    </w:rPr>
  </w:style>
  <w:style w:type="paragraph" w:customStyle="1" w:styleId="xl24">
    <w:name w:val="xl24"/>
    <w:basedOn w:val="Normal"/>
    <w:rsid w:val="00A17B0F"/>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eastAsia="Arial Unicode MS"/>
      <w:b/>
      <w:bCs/>
    </w:rPr>
  </w:style>
  <w:style w:type="paragraph" w:customStyle="1" w:styleId="xl25">
    <w:name w:val="xl25"/>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Arial Unicode MS"/>
      <w:sz w:val="16"/>
      <w:szCs w:val="16"/>
    </w:rPr>
  </w:style>
  <w:style w:type="paragraph" w:customStyle="1" w:styleId="xl26">
    <w:name w:val="xl26"/>
    <w:basedOn w:val="Normal"/>
    <w:rsid w:val="00A17B0F"/>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pPr>
    <w:rPr>
      <w:rFonts w:eastAsia="Arial Unicode MS"/>
      <w:b/>
      <w:bCs/>
      <w:sz w:val="16"/>
      <w:szCs w:val="16"/>
    </w:rPr>
  </w:style>
  <w:style w:type="paragraph" w:customStyle="1" w:styleId="xl27">
    <w:name w:val="xl27"/>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b/>
      <w:bCs/>
      <w:sz w:val="16"/>
      <w:szCs w:val="16"/>
    </w:rPr>
  </w:style>
  <w:style w:type="paragraph" w:customStyle="1" w:styleId="xl28">
    <w:name w:val="xl28"/>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b/>
      <w:bCs/>
      <w:sz w:val="16"/>
      <w:szCs w:val="16"/>
    </w:rPr>
  </w:style>
  <w:style w:type="paragraph" w:customStyle="1" w:styleId="xl29">
    <w:name w:val="xl29"/>
    <w:basedOn w:val="Normal"/>
    <w:rsid w:val="00A17B0F"/>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pPr>
    <w:rPr>
      <w:rFonts w:eastAsia="Arial Unicode MS"/>
      <w:b/>
      <w:bCs/>
    </w:rPr>
  </w:style>
  <w:style w:type="paragraph" w:customStyle="1" w:styleId="xl30">
    <w:name w:val="xl30"/>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Arial Unicode MS"/>
    </w:rPr>
  </w:style>
  <w:style w:type="paragraph" w:customStyle="1" w:styleId="xl31">
    <w:name w:val="xl31"/>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rPr>
  </w:style>
  <w:style w:type="paragraph" w:customStyle="1" w:styleId="xl32">
    <w:name w:val="xl32"/>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b/>
      <w:bCs/>
    </w:rPr>
  </w:style>
  <w:style w:type="paragraph" w:customStyle="1" w:styleId="xl33">
    <w:name w:val="xl33"/>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Arial Unicode MS"/>
      <w:b/>
      <w:bCs/>
    </w:rPr>
  </w:style>
  <w:style w:type="paragraph" w:customStyle="1" w:styleId="xl34">
    <w:name w:val="xl34"/>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rPr>
  </w:style>
  <w:style w:type="paragraph" w:customStyle="1" w:styleId="nadpis1">
    <w:name w:val="nadpis 1"/>
    <w:basedOn w:val="Normal"/>
    <w:rsid w:val="00A17B0F"/>
    <w:pPr>
      <w:autoSpaceDE w:val="0"/>
      <w:autoSpaceDN w:val="0"/>
      <w:spacing w:line="360" w:lineRule="atLeast"/>
      <w:ind w:left="709" w:right="38" w:hanging="709"/>
      <w:jc w:val="both"/>
    </w:pPr>
    <w:rPr>
      <w:rFonts w:ascii="Times" w:hAnsi="Times" w:cs="Arial Unicode MS"/>
      <w:sz w:val="36"/>
      <w:szCs w:val="36"/>
      <w:lang w:eastAsia="en-US"/>
    </w:rPr>
  </w:style>
  <w:style w:type="paragraph" w:customStyle="1" w:styleId="textonormal">
    <w:name w:val="texto normal"/>
    <w:basedOn w:val="Normal"/>
    <w:rsid w:val="00A17B0F"/>
    <w:pPr>
      <w:spacing w:after="240"/>
      <w:ind w:left="540"/>
    </w:pPr>
    <w:rPr>
      <w:rFonts w:ascii="Arial" w:hAnsi="Arial"/>
      <w:sz w:val="16"/>
      <w:szCs w:val="20"/>
      <w:lang w:val="en-GB" w:eastAsia="en-US"/>
    </w:rPr>
  </w:style>
  <w:style w:type="paragraph" w:customStyle="1" w:styleId="xl35">
    <w:name w:val="xl35"/>
    <w:basedOn w:val="Normal"/>
    <w:rsid w:val="00A17B0F"/>
    <w:pPr>
      <w:pBdr>
        <w:bottom w:val="single" w:sz="4" w:space="0" w:color="auto"/>
      </w:pBdr>
      <w:spacing w:before="100" w:beforeAutospacing="1" w:after="100" w:afterAutospacing="1"/>
      <w:jc w:val="right"/>
    </w:pPr>
    <w:rPr>
      <w:rFonts w:eastAsia="Arial Unicode MS"/>
    </w:rPr>
  </w:style>
  <w:style w:type="paragraph" w:customStyle="1" w:styleId="xl36">
    <w:name w:val="xl36"/>
    <w:basedOn w:val="Normal"/>
    <w:rsid w:val="00A17B0F"/>
    <w:pPr>
      <w:pBdr>
        <w:bottom w:val="double" w:sz="6" w:space="0" w:color="auto"/>
      </w:pBdr>
      <w:spacing w:before="100" w:beforeAutospacing="1" w:after="100" w:afterAutospacing="1"/>
      <w:jc w:val="right"/>
    </w:pPr>
    <w:rPr>
      <w:rFonts w:eastAsia="Arial Unicode MS"/>
    </w:rPr>
  </w:style>
  <w:style w:type="paragraph" w:customStyle="1" w:styleId="xl37">
    <w:name w:val="xl37"/>
    <w:basedOn w:val="Normal"/>
    <w:rsid w:val="00A17B0F"/>
    <w:pPr>
      <w:pBdr>
        <w:bottom w:val="single" w:sz="4" w:space="0" w:color="auto"/>
      </w:pBdr>
      <w:spacing w:before="100" w:beforeAutospacing="1" w:after="100" w:afterAutospacing="1"/>
      <w:jc w:val="center"/>
    </w:pPr>
    <w:rPr>
      <w:rFonts w:ascii="RomanEES" w:eastAsia="Arial Unicode MS" w:hAnsi="RomanEES" w:cs="Arial Unicode MS"/>
    </w:rPr>
  </w:style>
  <w:style w:type="character" w:styleId="Emphasis">
    <w:name w:val="Emphasis"/>
    <w:qFormat/>
    <w:rsid w:val="00A17B0F"/>
    <w:rPr>
      <w:i/>
      <w:iCs/>
    </w:rPr>
  </w:style>
  <w:style w:type="paragraph" w:customStyle="1" w:styleId="Textbubliny1">
    <w:name w:val="Text bubliny1"/>
    <w:basedOn w:val="Normal"/>
    <w:semiHidden/>
    <w:rsid w:val="00A17B0F"/>
    <w:pPr>
      <w:jc w:val="both"/>
    </w:pPr>
    <w:rPr>
      <w:rFonts w:ascii="Tahoma" w:hAnsi="Tahoma" w:cs="Tahoma"/>
      <w:sz w:val="16"/>
      <w:szCs w:val="16"/>
      <w:lang w:eastAsia="en-US"/>
    </w:rPr>
  </w:style>
  <w:style w:type="paragraph" w:customStyle="1" w:styleId="RNormal">
    <w:name w:val="RNormal"/>
    <w:basedOn w:val="Normal"/>
    <w:rsid w:val="00A17B0F"/>
    <w:pPr>
      <w:jc w:val="both"/>
    </w:pPr>
    <w:rPr>
      <w:sz w:val="22"/>
      <w:lang w:val="en-US" w:eastAsia="en-US"/>
    </w:rPr>
  </w:style>
  <w:style w:type="paragraph" w:styleId="ListBullet">
    <w:name w:val="List Bullet"/>
    <w:basedOn w:val="BodyText"/>
    <w:rsid w:val="00A17B0F"/>
    <w:pPr>
      <w:numPr>
        <w:numId w:val="12"/>
      </w:numPr>
      <w:spacing w:before="130" w:after="130"/>
      <w:jc w:val="both"/>
    </w:pPr>
    <w:rPr>
      <w:rFonts w:ascii="RomanEES" w:hAnsi="RomanEES"/>
      <w:sz w:val="20"/>
      <w:szCs w:val="20"/>
      <w:lang w:eastAsia="en-US"/>
    </w:rPr>
  </w:style>
  <w:style w:type="paragraph" w:customStyle="1" w:styleId="NormalTimesNewRoman">
    <w:name w:val="Normal + Times New Roman"/>
    <w:basedOn w:val="Normal"/>
    <w:rsid w:val="00A17B0F"/>
    <w:pPr>
      <w:tabs>
        <w:tab w:val="left" w:pos="1134"/>
        <w:tab w:val="right" w:pos="4820"/>
        <w:tab w:val="right" w:pos="6521"/>
        <w:tab w:val="right" w:pos="8222"/>
        <w:tab w:val="left" w:pos="9072"/>
      </w:tabs>
      <w:jc w:val="both"/>
    </w:pPr>
    <w:rPr>
      <w:sz w:val="20"/>
      <w:szCs w:val="20"/>
      <w:lang w:eastAsia="en-US"/>
    </w:rPr>
  </w:style>
  <w:style w:type="paragraph" w:customStyle="1" w:styleId="SOR">
    <w:name w:val="SOR"/>
    <w:basedOn w:val="BodyText"/>
    <w:rsid w:val="00A17B0F"/>
    <w:pPr>
      <w:spacing w:after="0"/>
      <w:jc w:val="both"/>
    </w:pPr>
    <w:rPr>
      <w:rFonts w:ascii="Arial" w:hAnsi="Arial" w:cs="Arial"/>
      <w:sz w:val="22"/>
      <w:szCs w:val="20"/>
    </w:rPr>
  </w:style>
  <w:style w:type="paragraph" w:customStyle="1" w:styleId="StylebodyEYGothicCondDemi">
    <w:name w:val="Style body + EY Gothic Cond Demi"/>
    <w:basedOn w:val="Normal"/>
    <w:rsid w:val="00A17B0F"/>
    <w:pPr>
      <w:overflowPunct w:val="0"/>
      <w:autoSpaceDE w:val="0"/>
      <w:autoSpaceDN w:val="0"/>
      <w:adjustRightInd w:val="0"/>
      <w:spacing w:after="120" w:line="240" w:lineRule="exact"/>
      <w:textAlignment w:val="baseline"/>
    </w:pPr>
    <w:rPr>
      <w:rFonts w:ascii="EY Gothic Comp Book" w:hAnsi="EY Gothic Comp Book"/>
      <w:color w:val="000000"/>
      <w:sz w:val="20"/>
      <w:szCs w:val="20"/>
      <w:lang w:val="en-GB" w:eastAsia="en-US"/>
    </w:rPr>
  </w:style>
  <w:style w:type="table" w:styleId="TableGrid">
    <w:name w:val="Table Grid"/>
    <w:basedOn w:val="TableNormal"/>
    <w:rsid w:val="00A17B0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rsid w:val="00A17B0F"/>
    <w:pPr>
      <w:overflowPunct w:val="0"/>
      <w:autoSpaceDE w:val="0"/>
      <w:autoSpaceDN w:val="0"/>
      <w:adjustRightInd w:val="0"/>
      <w:spacing w:after="120" w:line="240" w:lineRule="exact"/>
      <w:textAlignment w:val="baseline"/>
    </w:pPr>
    <w:rPr>
      <w:color w:val="000000"/>
      <w:sz w:val="20"/>
      <w:szCs w:val="20"/>
      <w:lang w:val="en-GB" w:eastAsia="en-US"/>
    </w:rPr>
  </w:style>
  <w:style w:type="character" w:customStyle="1" w:styleId="bodyChar">
    <w:name w:val="body Char"/>
    <w:link w:val="body"/>
    <w:rsid w:val="00A17B0F"/>
    <w:rPr>
      <w:color w:val="000000"/>
      <w:lang w:val="en-GB" w:eastAsia="en-US" w:bidi="ar-SA"/>
    </w:rPr>
  </w:style>
  <w:style w:type="paragraph" w:customStyle="1" w:styleId="Indent3">
    <w:name w:val="Indent 3"/>
    <w:basedOn w:val="Normal"/>
    <w:rsid w:val="00A17B0F"/>
    <w:pPr>
      <w:numPr>
        <w:numId w:val="13"/>
      </w:numPr>
      <w:tabs>
        <w:tab w:val="left" w:pos="-1440"/>
      </w:tabs>
      <w:suppressAutoHyphens/>
      <w:overflowPunct w:val="0"/>
      <w:autoSpaceDE w:val="0"/>
      <w:autoSpaceDN w:val="0"/>
      <w:adjustRightInd w:val="0"/>
      <w:jc w:val="both"/>
      <w:textAlignment w:val="baseline"/>
    </w:pPr>
    <w:rPr>
      <w:sz w:val="20"/>
      <w:szCs w:val="20"/>
      <w:lang w:val="en-GB" w:eastAsia="en-US"/>
    </w:rPr>
  </w:style>
  <w:style w:type="character" w:customStyle="1" w:styleId="StyleAuto">
    <w:name w:val="Style Auto"/>
    <w:rsid w:val="00A17B0F"/>
    <w:rPr>
      <w:rFonts w:ascii="Verdana" w:hAnsi="Verdana"/>
      <w:color w:val="auto"/>
      <w:sz w:val="17"/>
    </w:rPr>
  </w:style>
  <w:style w:type="paragraph" w:customStyle="1" w:styleId="xl59">
    <w:name w:val="xl59"/>
    <w:basedOn w:val="Normal"/>
    <w:rsid w:val="00A4279B"/>
    <w:pPr>
      <w:spacing w:before="100" w:beforeAutospacing="1" w:after="100" w:afterAutospacing="1"/>
      <w:jc w:val="both"/>
    </w:pPr>
    <w:rPr>
      <w:rFonts w:ascii="Arial" w:hAnsi="Arial" w:cs="Arial"/>
      <w:sz w:val="17"/>
      <w:lang w:val="en-US" w:eastAsia="en-US"/>
    </w:rPr>
  </w:style>
  <w:style w:type="paragraph" w:customStyle="1" w:styleId="StyleLeft1cm">
    <w:name w:val="Style Left:  1 cm"/>
    <w:basedOn w:val="Normal"/>
    <w:uiPriority w:val="99"/>
    <w:rsid w:val="00A4279B"/>
    <w:pPr>
      <w:ind w:left="567"/>
      <w:jc w:val="both"/>
    </w:pPr>
    <w:rPr>
      <w:rFonts w:ascii="Times" w:hAnsi="Times"/>
      <w:sz w:val="20"/>
      <w:szCs w:val="20"/>
      <w:lang w:val="en-GB" w:eastAsia="cs-CZ"/>
    </w:rPr>
  </w:style>
  <w:style w:type="paragraph" w:customStyle="1" w:styleId="Style75ptBlackRight-005cm">
    <w:name w:val="Style 75 pt Black Right:  -005 cm"/>
    <w:basedOn w:val="Normal"/>
    <w:rsid w:val="00BB5146"/>
    <w:pPr>
      <w:ind w:right="-30"/>
      <w:jc w:val="both"/>
    </w:pPr>
    <w:rPr>
      <w:color w:val="000000"/>
      <w:sz w:val="20"/>
      <w:szCs w:val="20"/>
      <w:lang w:val="en-GB" w:eastAsia="cs-CZ"/>
    </w:rPr>
  </w:style>
  <w:style w:type="paragraph" w:styleId="ListParagraph">
    <w:name w:val="List Paragraph"/>
    <w:basedOn w:val="Normal"/>
    <w:uiPriority w:val="34"/>
    <w:qFormat/>
    <w:rsid w:val="00BB5146"/>
    <w:pPr>
      <w:ind w:left="720"/>
    </w:pPr>
    <w:rPr>
      <w:rFonts w:ascii="Times" w:hAnsi="Times"/>
      <w:sz w:val="20"/>
      <w:szCs w:val="20"/>
      <w:lang w:val="en-GB" w:eastAsia="cs-CZ"/>
    </w:rPr>
  </w:style>
  <w:style w:type="paragraph" w:customStyle="1" w:styleId="Style10ptLeft1cmRight001cm">
    <w:name w:val="Style 10 pt Left:  1 cm Right:  001 cm"/>
    <w:basedOn w:val="Normal"/>
    <w:rsid w:val="00AF7DDE"/>
    <w:pPr>
      <w:ind w:left="567" w:right="4"/>
      <w:jc w:val="both"/>
    </w:pPr>
    <w:rPr>
      <w:rFonts w:ascii="Times" w:hAnsi="Times"/>
      <w:sz w:val="20"/>
      <w:szCs w:val="20"/>
      <w:lang w:val="en-GB" w:eastAsia="cs-CZ"/>
    </w:rPr>
  </w:style>
  <w:style w:type="paragraph" w:customStyle="1" w:styleId="StyleLeft1cmRight001cm1">
    <w:name w:val="Style Left:  1 cm Right:  001 cm1"/>
    <w:basedOn w:val="Normal"/>
    <w:rsid w:val="00AF7DDE"/>
    <w:pPr>
      <w:ind w:left="567" w:right="4"/>
      <w:jc w:val="both"/>
    </w:pPr>
    <w:rPr>
      <w:sz w:val="20"/>
      <w:szCs w:val="20"/>
      <w:lang w:val="en-GB" w:eastAsia="cs-CZ"/>
    </w:rPr>
  </w:style>
  <w:style w:type="paragraph" w:customStyle="1" w:styleId="T1">
    <w:name w:val="T1"/>
    <w:basedOn w:val="Normal"/>
    <w:rsid w:val="00A5134A"/>
    <w:pPr>
      <w:widowControl w:val="0"/>
    </w:pPr>
    <w:rPr>
      <w:rFonts w:ascii="Verdana" w:hAnsi="Verdana"/>
      <w:b/>
      <w:sz w:val="17"/>
      <w:szCs w:val="20"/>
      <w:lang w:val="en-GB" w:eastAsia="en-US"/>
    </w:rPr>
  </w:style>
  <w:style w:type="character" w:customStyle="1" w:styleId="HeaderChar">
    <w:name w:val="Header Char"/>
    <w:link w:val="Header"/>
    <w:uiPriority w:val="99"/>
    <w:rsid w:val="006A0B29"/>
    <w:rPr>
      <w:sz w:val="24"/>
      <w:szCs w:val="24"/>
      <w:lang w:val="sk-SK" w:eastAsia="sk-SK"/>
    </w:rPr>
  </w:style>
  <w:style w:type="paragraph" w:customStyle="1" w:styleId="TT">
    <w:name w:val="TT"/>
    <w:basedOn w:val="Normal"/>
    <w:rsid w:val="006A0B29"/>
    <w:pPr>
      <w:widowControl w:val="0"/>
      <w:overflowPunct w:val="0"/>
      <w:autoSpaceDE w:val="0"/>
      <w:autoSpaceDN w:val="0"/>
      <w:adjustRightInd w:val="0"/>
      <w:spacing w:line="301" w:lineRule="exact"/>
      <w:jc w:val="both"/>
    </w:pPr>
    <w:rPr>
      <w:rFonts w:ascii="Book Antiqua" w:hAnsi="Book Antiqua"/>
      <w:sz w:val="19"/>
      <w:szCs w:val="20"/>
      <w:lang w:val="en-AU" w:eastAsia="en-US"/>
    </w:rPr>
  </w:style>
  <w:style w:type="paragraph" w:customStyle="1" w:styleId="Heading1h1">
    <w:name w:val="Heading 1.h1"/>
    <w:basedOn w:val="Normal"/>
    <w:next w:val="Normal"/>
    <w:rsid w:val="006A0B29"/>
    <w:pPr>
      <w:widowControl w:val="0"/>
      <w:numPr>
        <w:numId w:val="25"/>
      </w:numPr>
      <w:overflowPunct w:val="0"/>
      <w:autoSpaceDE w:val="0"/>
      <w:autoSpaceDN w:val="0"/>
      <w:adjustRightInd w:val="0"/>
      <w:jc w:val="both"/>
    </w:pPr>
    <w:rPr>
      <w:rFonts w:ascii="Verdana" w:hAnsi="Verdana"/>
      <w:b/>
      <w:caps/>
      <w:sz w:val="17"/>
      <w:szCs w:val="20"/>
      <w:lang w:eastAsia="en-US"/>
    </w:rPr>
  </w:style>
  <w:style w:type="paragraph" w:styleId="Revision">
    <w:name w:val="Revision"/>
    <w:hidden/>
    <w:uiPriority w:val="99"/>
    <w:semiHidden/>
    <w:rsid w:val="003817CF"/>
    <w:rPr>
      <w:sz w:val="24"/>
      <w:szCs w:val="24"/>
      <w:lang w:val="sk-SK" w:eastAsia="sk-SK"/>
    </w:rPr>
  </w:style>
  <w:style w:type="paragraph" w:customStyle="1" w:styleId="Default">
    <w:name w:val="Default"/>
    <w:rsid w:val="00DC7F6C"/>
    <w:pPr>
      <w:autoSpaceDE w:val="0"/>
      <w:autoSpaceDN w:val="0"/>
      <w:adjustRightInd w:val="0"/>
    </w:pPr>
    <w:rPr>
      <w:color w:val="000000"/>
      <w:sz w:val="24"/>
      <w:szCs w:val="24"/>
    </w:rPr>
  </w:style>
  <w:style w:type="paragraph" w:styleId="NormalWeb">
    <w:name w:val="Normal (Web)"/>
    <w:basedOn w:val="Normal"/>
    <w:uiPriority w:val="99"/>
    <w:rsid w:val="00DC7F6C"/>
    <w:pPr>
      <w:spacing w:before="100" w:beforeAutospacing="1" w:after="100" w:afterAutospacing="1"/>
    </w:pPr>
    <w:rPr>
      <w:rFonts w:ascii="Arial Unicode MS" w:eastAsia="Arial Unicode MS" w:hAnsi="Arial Unicode MS" w:cs="Arial Unicode M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sk-SK" w:eastAsia="sk-SK"/>
    </w:rPr>
  </w:style>
  <w:style w:type="paragraph" w:styleId="Heading1">
    <w:name w:val="heading 1"/>
    <w:basedOn w:val="Normal"/>
    <w:next w:val="Normal"/>
    <w:qFormat/>
    <w:rsid w:val="00A17B0F"/>
    <w:pPr>
      <w:spacing w:before="240"/>
      <w:jc w:val="both"/>
      <w:outlineLvl w:val="0"/>
    </w:pPr>
    <w:rPr>
      <w:rFonts w:ascii="Arial" w:hAnsi="Arial"/>
      <w:b/>
      <w:sz w:val="20"/>
      <w:szCs w:val="20"/>
      <w:u w:val="single"/>
      <w:lang w:eastAsia="en-US"/>
    </w:rPr>
  </w:style>
  <w:style w:type="paragraph" w:styleId="Heading2">
    <w:name w:val="heading 2"/>
    <w:basedOn w:val="Normal"/>
    <w:next w:val="Normal"/>
    <w:uiPriority w:val="9"/>
    <w:qFormat/>
    <w:rsid w:val="00A17B0F"/>
    <w:pPr>
      <w:spacing w:before="120"/>
      <w:jc w:val="both"/>
      <w:outlineLvl w:val="1"/>
    </w:pPr>
    <w:rPr>
      <w:rFonts w:ascii="Arial" w:hAnsi="Arial"/>
      <w:b/>
      <w:sz w:val="20"/>
      <w:szCs w:val="20"/>
      <w:lang w:eastAsia="en-US"/>
    </w:rPr>
  </w:style>
  <w:style w:type="paragraph" w:styleId="Heading3">
    <w:name w:val="heading 3"/>
    <w:basedOn w:val="Normal"/>
    <w:next w:val="NormalIndent"/>
    <w:uiPriority w:val="9"/>
    <w:qFormat/>
    <w:rsid w:val="00A17B0F"/>
    <w:pPr>
      <w:ind w:left="360"/>
      <w:jc w:val="both"/>
      <w:outlineLvl w:val="2"/>
    </w:pPr>
    <w:rPr>
      <w:b/>
      <w:sz w:val="20"/>
      <w:szCs w:val="20"/>
      <w:lang w:eastAsia="en-US"/>
    </w:rPr>
  </w:style>
  <w:style w:type="paragraph" w:styleId="Heading4">
    <w:name w:val="heading 4"/>
    <w:basedOn w:val="Normal"/>
    <w:next w:val="NormalIndent"/>
    <w:uiPriority w:val="9"/>
    <w:qFormat/>
    <w:rsid w:val="00A17B0F"/>
    <w:pPr>
      <w:ind w:left="360"/>
      <w:jc w:val="both"/>
      <w:outlineLvl w:val="3"/>
    </w:pPr>
    <w:rPr>
      <w:sz w:val="20"/>
      <w:szCs w:val="20"/>
      <w:u w:val="single"/>
      <w:lang w:eastAsia="en-US"/>
    </w:rPr>
  </w:style>
  <w:style w:type="paragraph" w:styleId="Heading5">
    <w:name w:val="heading 5"/>
    <w:basedOn w:val="Normal"/>
    <w:next w:val="NormalIndent"/>
    <w:uiPriority w:val="9"/>
    <w:qFormat/>
    <w:rsid w:val="00A17B0F"/>
    <w:pPr>
      <w:ind w:left="720"/>
      <w:jc w:val="both"/>
      <w:outlineLvl w:val="4"/>
    </w:pPr>
    <w:rPr>
      <w:b/>
      <w:sz w:val="20"/>
      <w:szCs w:val="20"/>
      <w:lang w:eastAsia="en-US"/>
    </w:rPr>
  </w:style>
  <w:style w:type="paragraph" w:styleId="Heading6">
    <w:name w:val="heading 6"/>
    <w:basedOn w:val="Normal"/>
    <w:next w:val="NormalIndent"/>
    <w:uiPriority w:val="9"/>
    <w:qFormat/>
    <w:rsid w:val="00A17B0F"/>
    <w:pPr>
      <w:ind w:left="720"/>
      <w:jc w:val="both"/>
      <w:outlineLvl w:val="5"/>
    </w:pPr>
    <w:rPr>
      <w:sz w:val="20"/>
      <w:szCs w:val="20"/>
      <w:u w:val="single"/>
      <w:lang w:eastAsia="en-US"/>
    </w:rPr>
  </w:style>
  <w:style w:type="paragraph" w:styleId="Heading7">
    <w:name w:val="heading 7"/>
    <w:basedOn w:val="Normal"/>
    <w:next w:val="NormalIndent"/>
    <w:uiPriority w:val="9"/>
    <w:qFormat/>
    <w:rsid w:val="00A17B0F"/>
    <w:pPr>
      <w:ind w:left="720"/>
      <w:jc w:val="both"/>
      <w:outlineLvl w:val="6"/>
    </w:pPr>
    <w:rPr>
      <w:i/>
      <w:sz w:val="20"/>
      <w:szCs w:val="20"/>
      <w:lang w:eastAsia="en-US"/>
    </w:rPr>
  </w:style>
  <w:style w:type="paragraph" w:styleId="Heading8">
    <w:name w:val="heading 8"/>
    <w:basedOn w:val="Normal"/>
    <w:next w:val="NormalIndent"/>
    <w:uiPriority w:val="9"/>
    <w:qFormat/>
    <w:rsid w:val="00A17B0F"/>
    <w:pPr>
      <w:ind w:left="720"/>
      <w:jc w:val="both"/>
      <w:outlineLvl w:val="7"/>
    </w:pPr>
    <w:rPr>
      <w:i/>
      <w:sz w:val="20"/>
      <w:szCs w:val="20"/>
      <w:lang w:eastAsia="en-US"/>
    </w:rPr>
  </w:style>
  <w:style w:type="paragraph" w:styleId="Heading9">
    <w:name w:val="heading 9"/>
    <w:basedOn w:val="Normal"/>
    <w:next w:val="NormalIndent"/>
    <w:uiPriority w:val="9"/>
    <w:qFormat/>
    <w:rsid w:val="00A17B0F"/>
    <w:pPr>
      <w:ind w:left="720"/>
      <w:jc w:val="both"/>
      <w:outlineLvl w:val="8"/>
    </w:pPr>
    <w:rPr>
      <w:i/>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A17B0F"/>
    <w:pPr>
      <w:ind w:left="720"/>
      <w:jc w:val="both"/>
    </w:pPr>
    <w:rPr>
      <w:rFonts w:ascii="RomanEES" w:hAnsi="RomanEES"/>
      <w:sz w:val="20"/>
      <w:szCs w:val="20"/>
      <w:lang w:eastAsia="en-US"/>
    </w:rPr>
  </w:style>
  <w:style w:type="paragraph" w:styleId="Header">
    <w:name w:val="header"/>
    <w:basedOn w:val="Normal"/>
    <w:link w:val="HeaderChar"/>
    <w:uiPriority w:val="99"/>
    <w:rsid w:val="00C614A6"/>
    <w:pPr>
      <w:tabs>
        <w:tab w:val="center" w:pos="4536"/>
        <w:tab w:val="right" w:pos="9072"/>
      </w:tabs>
    </w:pPr>
  </w:style>
  <w:style w:type="paragraph" w:styleId="Footer">
    <w:name w:val="footer"/>
    <w:basedOn w:val="Normal"/>
    <w:uiPriority w:val="99"/>
    <w:rsid w:val="00C614A6"/>
    <w:pPr>
      <w:tabs>
        <w:tab w:val="center" w:pos="4536"/>
        <w:tab w:val="right" w:pos="9072"/>
      </w:tabs>
    </w:pPr>
  </w:style>
  <w:style w:type="character" w:styleId="Hyperlink">
    <w:name w:val="Hyperlink"/>
    <w:rsid w:val="00EB07B1"/>
    <w:rPr>
      <w:color w:val="0000FF"/>
      <w:u w:val="single"/>
    </w:rPr>
  </w:style>
  <w:style w:type="character" w:styleId="FollowedHyperlink">
    <w:name w:val="FollowedHyperlink"/>
    <w:rsid w:val="00EB07B1"/>
    <w:rPr>
      <w:color w:val="800080"/>
      <w:u w:val="single"/>
    </w:rPr>
  </w:style>
  <w:style w:type="character" w:styleId="PageNumber">
    <w:name w:val="page number"/>
    <w:basedOn w:val="DefaultParagraphFont"/>
    <w:rsid w:val="00356330"/>
  </w:style>
  <w:style w:type="paragraph" w:customStyle="1" w:styleId="NormlnyArial">
    <w:name w:val="Normálny + Arial"/>
    <w:aliases w:val="10 pt,Podľa okraja"/>
    <w:basedOn w:val="Normal"/>
    <w:rsid w:val="00476505"/>
    <w:pPr>
      <w:jc w:val="both"/>
    </w:pPr>
    <w:rPr>
      <w:rFonts w:ascii="Arial" w:hAnsi="Arial" w:cs="Arial"/>
      <w:sz w:val="20"/>
    </w:rPr>
  </w:style>
  <w:style w:type="paragraph" w:styleId="BodyText2">
    <w:name w:val="Body Text 2"/>
    <w:basedOn w:val="Normal"/>
    <w:rsid w:val="00076FB2"/>
    <w:pPr>
      <w:tabs>
        <w:tab w:val="left" w:pos="3600"/>
        <w:tab w:val="left" w:pos="6480"/>
      </w:tabs>
      <w:overflowPunct w:val="0"/>
      <w:autoSpaceDE w:val="0"/>
      <w:autoSpaceDN w:val="0"/>
      <w:adjustRightInd w:val="0"/>
      <w:ind w:left="720" w:hanging="11"/>
      <w:jc w:val="both"/>
      <w:textAlignment w:val="baseline"/>
    </w:pPr>
    <w:rPr>
      <w:rFonts w:ascii="Times" w:hAnsi="Times" w:cs="Times"/>
      <w:sz w:val="20"/>
      <w:szCs w:val="20"/>
    </w:rPr>
  </w:style>
  <w:style w:type="paragraph" w:styleId="BodyTextIndent3">
    <w:name w:val="Body Text Indent 3"/>
    <w:basedOn w:val="Normal"/>
    <w:rsid w:val="00BB7E51"/>
    <w:pPr>
      <w:spacing w:after="120"/>
      <w:ind w:left="283"/>
      <w:jc w:val="both"/>
    </w:pPr>
    <w:rPr>
      <w:rFonts w:ascii="RomanEES" w:hAnsi="RomanEES"/>
      <w:sz w:val="16"/>
      <w:szCs w:val="16"/>
      <w:lang w:eastAsia="en-US"/>
    </w:rPr>
  </w:style>
  <w:style w:type="paragraph" w:customStyle="1" w:styleId="Lettertext">
    <w:name w:val="Letter text"/>
    <w:basedOn w:val="Normal"/>
    <w:rsid w:val="00BB7E51"/>
    <w:pPr>
      <w:widowControl w:val="0"/>
      <w:tabs>
        <w:tab w:val="left" w:pos="567"/>
      </w:tabs>
      <w:spacing w:after="240"/>
      <w:ind w:left="454"/>
    </w:pPr>
    <w:rPr>
      <w:rFonts w:ascii="Arial" w:hAnsi="Arial"/>
      <w:snapToGrid w:val="0"/>
      <w:sz w:val="16"/>
      <w:szCs w:val="20"/>
      <w:lang w:val="en-GB" w:eastAsia="en-US"/>
    </w:rPr>
  </w:style>
  <w:style w:type="paragraph" w:customStyle="1" w:styleId="000Normal">
    <w:name w:val="000 Normal"/>
    <w:basedOn w:val="Normal"/>
    <w:rsid w:val="00BB7E51"/>
    <w:pPr>
      <w:overflowPunct w:val="0"/>
      <w:autoSpaceDE w:val="0"/>
      <w:autoSpaceDN w:val="0"/>
      <w:adjustRightInd w:val="0"/>
      <w:spacing w:before="60" w:after="40" w:line="220" w:lineRule="exact"/>
      <w:jc w:val="both"/>
      <w:textAlignment w:val="baseline"/>
    </w:pPr>
    <w:rPr>
      <w:rFonts w:ascii="Garamond" w:hAnsi="Garamond"/>
      <w:sz w:val="20"/>
      <w:szCs w:val="20"/>
      <w:lang w:val="en-GB" w:eastAsia="en-US"/>
    </w:rPr>
  </w:style>
  <w:style w:type="paragraph" w:customStyle="1" w:styleId="Normaltext">
    <w:name w:val="Normal text"/>
    <w:basedOn w:val="Normal"/>
    <w:rsid w:val="00BB7E51"/>
    <w:pPr>
      <w:overflowPunct w:val="0"/>
      <w:autoSpaceDE w:val="0"/>
      <w:autoSpaceDN w:val="0"/>
      <w:adjustRightInd w:val="0"/>
      <w:spacing w:line="240" w:lineRule="atLeast"/>
      <w:ind w:right="568"/>
      <w:jc w:val="both"/>
      <w:textAlignment w:val="baseline"/>
    </w:pPr>
    <w:rPr>
      <w:lang w:val="en-GB" w:eastAsia="en-US"/>
    </w:rPr>
  </w:style>
  <w:style w:type="paragraph" w:customStyle="1" w:styleId="Notetext">
    <w:name w:val="Note text"/>
    <w:basedOn w:val="Normal"/>
    <w:rsid w:val="00BB7E51"/>
    <w:pPr>
      <w:widowControl w:val="0"/>
      <w:tabs>
        <w:tab w:val="left" w:pos="0"/>
      </w:tabs>
      <w:spacing w:after="240"/>
      <w:jc w:val="both"/>
    </w:pPr>
    <w:rPr>
      <w:rFonts w:ascii="Arial" w:hAnsi="Arial"/>
      <w:snapToGrid w:val="0"/>
      <w:color w:val="FF0000"/>
      <w:sz w:val="16"/>
      <w:szCs w:val="20"/>
      <w:lang w:val="en-GB" w:eastAsia="en-US"/>
    </w:rPr>
  </w:style>
  <w:style w:type="paragraph" w:styleId="BodyText">
    <w:name w:val="Body Text"/>
    <w:basedOn w:val="Normal"/>
    <w:rsid w:val="00B36751"/>
    <w:pPr>
      <w:spacing w:after="120"/>
    </w:pPr>
  </w:style>
  <w:style w:type="paragraph" w:styleId="BodyTextIndent2">
    <w:name w:val="Body Text Indent 2"/>
    <w:basedOn w:val="Normal"/>
    <w:rsid w:val="00CC24B5"/>
    <w:pPr>
      <w:spacing w:after="120" w:line="480" w:lineRule="auto"/>
      <w:ind w:left="283"/>
      <w:jc w:val="both"/>
    </w:pPr>
    <w:rPr>
      <w:rFonts w:ascii="RomanEES" w:hAnsi="RomanEES"/>
      <w:szCs w:val="20"/>
      <w:lang w:val="en-US" w:eastAsia="en-US"/>
    </w:rPr>
  </w:style>
  <w:style w:type="character" w:styleId="CommentReference">
    <w:name w:val="annotation reference"/>
    <w:semiHidden/>
    <w:rsid w:val="006073E2"/>
    <w:rPr>
      <w:sz w:val="16"/>
      <w:szCs w:val="16"/>
    </w:rPr>
  </w:style>
  <w:style w:type="paragraph" w:styleId="CommentText">
    <w:name w:val="annotation text"/>
    <w:basedOn w:val="Normal"/>
    <w:semiHidden/>
    <w:rsid w:val="006073E2"/>
    <w:rPr>
      <w:sz w:val="20"/>
      <w:szCs w:val="20"/>
    </w:rPr>
  </w:style>
  <w:style w:type="paragraph" w:styleId="CommentSubject">
    <w:name w:val="annotation subject"/>
    <w:basedOn w:val="CommentText"/>
    <w:next w:val="CommentText"/>
    <w:semiHidden/>
    <w:rsid w:val="006073E2"/>
    <w:rPr>
      <w:b/>
      <w:bCs/>
    </w:rPr>
  </w:style>
  <w:style w:type="paragraph" w:styleId="BalloonText">
    <w:name w:val="Balloon Text"/>
    <w:basedOn w:val="Normal"/>
    <w:semiHidden/>
    <w:rsid w:val="006073E2"/>
    <w:rPr>
      <w:rFonts w:ascii="Tahoma" w:hAnsi="Tahoma" w:cs="Tahoma"/>
      <w:sz w:val="16"/>
      <w:szCs w:val="16"/>
    </w:rPr>
  </w:style>
  <w:style w:type="paragraph" w:styleId="FootnoteText">
    <w:name w:val="footnote text"/>
    <w:basedOn w:val="Normal"/>
    <w:semiHidden/>
    <w:rsid w:val="00A17B0F"/>
    <w:pPr>
      <w:jc w:val="both"/>
    </w:pPr>
    <w:rPr>
      <w:rFonts w:ascii="RomanEES" w:hAnsi="RomanEES"/>
      <w:sz w:val="20"/>
      <w:szCs w:val="20"/>
      <w:lang w:eastAsia="en-US"/>
    </w:rPr>
  </w:style>
  <w:style w:type="paragraph" w:customStyle="1" w:styleId="S">
    <w:name w:val="S"/>
    <w:basedOn w:val="Normal"/>
    <w:rsid w:val="00A17B0F"/>
    <w:pPr>
      <w:tabs>
        <w:tab w:val="left" w:pos="1134"/>
        <w:tab w:val="right" w:pos="4820"/>
        <w:tab w:val="right" w:pos="6521"/>
        <w:tab w:val="right" w:pos="8222"/>
      </w:tabs>
      <w:jc w:val="both"/>
    </w:pPr>
    <w:rPr>
      <w:rFonts w:ascii="RomanEES" w:hAnsi="RomanEES"/>
      <w:b/>
      <w:sz w:val="20"/>
      <w:szCs w:val="20"/>
      <w:lang w:eastAsia="en-US"/>
    </w:rPr>
  </w:style>
  <w:style w:type="paragraph" w:customStyle="1" w:styleId="CoverInformation">
    <w:name w:val="Cover Information"/>
    <w:basedOn w:val="Normal"/>
    <w:rsid w:val="00A17B0F"/>
    <w:pPr>
      <w:framePr w:w="4536" w:hSpace="180" w:wrap="auto" w:vAnchor="page" w:hAnchor="page" w:x="3601" w:y="14422"/>
      <w:spacing w:line="260" w:lineRule="exact"/>
      <w:ind w:left="520"/>
    </w:pPr>
    <w:rPr>
      <w:rFonts w:ascii="MS Serif" w:hAnsi="MS Serif"/>
      <w:noProof/>
      <w:sz w:val="22"/>
      <w:szCs w:val="20"/>
      <w:lang w:eastAsia="en-US"/>
    </w:rPr>
  </w:style>
  <w:style w:type="paragraph" w:styleId="DocumentMap">
    <w:name w:val="Document Map"/>
    <w:basedOn w:val="Normal"/>
    <w:semiHidden/>
    <w:rsid w:val="00A17B0F"/>
    <w:pPr>
      <w:shd w:val="clear" w:color="auto" w:fill="000080"/>
      <w:jc w:val="both"/>
    </w:pPr>
    <w:rPr>
      <w:rFonts w:ascii="Tahoma" w:hAnsi="Tahoma"/>
      <w:sz w:val="20"/>
      <w:szCs w:val="20"/>
      <w:lang w:eastAsia="en-US"/>
    </w:rPr>
  </w:style>
  <w:style w:type="paragraph" w:styleId="BodyText3">
    <w:name w:val="Body Text 3"/>
    <w:basedOn w:val="Normal"/>
    <w:rsid w:val="00A17B0F"/>
    <w:pPr>
      <w:tabs>
        <w:tab w:val="left" w:pos="1168"/>
        <w:tab w:val="right" w:pos="4820"/>
        <w:tab w:val="right" w:pos="6521"/>
        <w:tab w:val="right" w:pos="8222"/>
      </w:tabs>
      <w:ind w:right="35"/>
      <w:jc w:val="right"/>
    </w:pPr>
    <w:rPr>
      <w:sz w:val="20"/>
      <w:szCs w:val="20"/>
      <w:lang w:val="en-GB" w:eastAsia="en-US"/>
    </w:rPr>
  </w:style>
  <w:style w:type="paragraph" w:styleId="BodyTextIndent">
    <w:name w:val="Body Text Indent"/>
    <w:basedOn w:val="Normal"/>
    <w:rsid w:val="00A17B0F"/>
    <w:pPr>
      <w:ind w:left="567"/>
      <w:jc w:val="both"/>
    </w:pPr>
    <w:rPr>
      <w:rFonts w:ascii="RomanEES" w:hAnsi="RomanEES"/>
      <w:sz w:val="20"/>
      <w:szCs w:val="20"/>
      <w:lang w:eastAsia="en-US"/>
    </w:rPr>
  </w:style>
  <w:style w:type="paragraph" w:customStyle="1" w:styleId="BalloonText1">
    <w:name w:val="Balloon Text1"/>
    <w:basedOn w:val="Normal"/>
    <w:semiHidden/>
    <w:rsid w:val="00A17B0F"/>
    <w:pPr>
      <w:jc w:val="both"/>
    </w:pPr>
    <w:rPr>
      <w:rFonts w:ascii="Tahoma" w:hAnsi="Tahoma" w:cs="Tahoma"/>
      <w:sz w:val="16"/>
      <w:szCs w:val="16"/>
      <w:lang w:eastAsia="en-US"/>
    </w:rPr>
  </w:style>
  <w:style w:type="character" w:customStyle="1" w:styleId="StyleTimesNewRoman11pt">
    <w:name w:val="Style Times New Roman 11 pt"/>
    <w:rsid w:val="00A17B0F"/>
    <w:rPr>
      <w:rFonts w:ascii="Times New Roman" w:hAnsi="Times New Roman"/>
      <w:sz w:val="20"/>
    </w:rPr>
  </w:style>
  <w:style w:type="paragraph" w:customStyle="1" w:styleId="StyleBodyText11pt">
    <w:name w:val="Style Body Text + 11 pt"/>
    <w:basedOn w:val="BodyText"/>
    <w:rsid w:val="00A17B0F"/>
    <w:pPr>
      <w:tabs>
        <w:tab w:val="left" w:pos="0"/>
      </w:tabs>
      <w:spacing w:after="0"/>
    </w:pPr>
    <w:rPr>
      <w:sz w:val="20"/>
      <w:szCs w:val="20"/>
      <w:lang w:eastAsia="en-US"/>
    </w:rPr>
  </w:style>
  <w:style w:type="paragraph" w:customStyle="1" w:styleId="StyleTimesNewRoman11ptLeft">
    <w:name w:val="Style Times New Roman 11 pt Left"/>
    <w:basedOn w:val="Normal"/>
    <w:rsid w:val="00A17B0F"/>
    <w:rPr>
      <w:sz w:val="20"/>
      <w:szCs w:val="20"/>
      <w:lang w:eastAsia="en-US"/>
    </w:rPr>
  </w:style>
  <w:style w:type="paragraph" w:customStyle="1" w:styleId="StyleTimesNewRoman11ptLeftLeft0Hanging01">
    <w:name w:val="Style Times New Roman 11 pt Left Left:  0&quot; Hanging:  01&quot;"/>
    <w:basedOn w:val="Normal"/>
    <w:autoRedefine/>
    <w:rsid w:val="00A17B0F"/>
    <w:pPr>
      <w:ind w:left="149" w:hanging="149"/>
    </w:pPr>
    <w:rPr>
      <w:sz w:val="20"/>
      <w:szCs w:val="20"/>
      <w:lang w:eastAsia="en-US"/>
    </w:rPr>
  </w:style>
  <w:style w:type="paragraph" w:customStyle="1" w:styleId="StyleFooterTimesNewRoman10pt">
    <w:name w:val="Style Footer + Times New Roman 10 pt"/>
    <w:basedOn w:val="Footer"/>
    <w:rsid w:val="00A17B0F"/>
    <w:pPr>
      <w:tabs>
        <w:tab w:val="clear" w:pos="4536"/>
        <w:tab w:val="clear" w:pos="9072"/>
        <w:tab w:val="center" w:pos="4320"/>
        <w:tab w:val="right" w:pos="8640"/>
      </w:tabs>
      <w:jc w:val="both"/>
    </w:pPr>
    <w:rPr>
      <w:sz w:val="20"/>
      <w:szCs w:val="20"/>
      <w:lang w:eastAsia="en-US"/>
    </w:rPr>
  </w:style>
  <w:style w:type="character" w:customStyle="1" w:styleId="FooterChar">
    <w:name w:val="Footer Char"/>
    <w:uiPriority w:val="99"/>
    <w:rsid w:val="00A17B0F"/>
    <w:rPr>
      <w:rFonts w:ascii="RomanEES" w:hAnsi="RomanEES"/>
      <w:sz w:val="24"/>
      <w:lang w:val="en-US" w:eastAsia="en-US" w:bidi="ar-SA"/>
    </w:rPr>
  </w:style>
  <w:style w:type="character" w:customStyle="1" w:styleId="StyleFooterTimesNewRoman10ptChar">
    <w:name w:val="Style Footer + Times New Roman 10 pt Char"/>
    <w:basedOn w:val="FooterChar"/>
    <w:rsid w:val="00A17B0F"/>
    <w:rPr>
      <w:rFonts w:ascii="RomanEES" w:hAnsi="RomanEES"/>
      <w:sz w:val="24"/>
      <w:lang w:val="en-US" w:eastAsia="en-US" w:bidi="ar-SA"/>
    </w:rPr>
  </w:style>
  <w:style w:type="character" w:customStyle="1" w:styleId="Style11pt">
    <w:name w:val="Style 11 pt"/>
    <w:rsid w:val="00A17B0F"/>
    <w:rPr>
      <w:sz w:val="20"/>
    </w:rPr>
  </w:style>
  <w:style w:type="paragraph" w:customStyle="1" w:styleId="StyleBodyTextIndent11pt">
    <w:name w:val="Style Body Text Indent + 11 pt"/>
    <w:basedOn w:val="BodyTextIndent"/>
    <w:rsid w:val="00A17B0F"/>
  </w:style>
  <w:style w:type="paragraph" w:customStyle="1" w:styleId="Style11ptLeft039">
    <w:name w:val="Style 11 pt Left:  039&quot;"/>
    <w:basedOn w:val="Normal"/>
    <w:rsid w:val="00A17B0F"/>
    <w:pPr>
      <w:ind w:left="555"/>
      <w:jc w:val="both"/>
    </w:pPr>
    <w:rPr>
      <w:rFonts w:ascii="RomanEES" w:hAnsi="RomanEES"/>
      <w:sz w:val="20"/>
      <w:szCs w:val="20"/>
      <w:lang w:eastAsia="en-US"/>
    </w:rPr>
  </w:style>
  <w:style w:type="paragraph" w:customStyle="1" w:styleId="StyleTimesNewRoman11ptLeft039">
    <w:name w:val="Style Times New Roman 11 pt Left:  039&quot;"/>
    <w:basedOn w:val="Normal"/>
    <w:autoRedefine/>
    <w:rsid w:val="00A17B0F"/>
    <w:pPr>
      <w:jc w:val="both"/>
    </w:pPr>
    <w:rPr>
      <w:sz w:val="20"/>
      <w:szCs w:val="20"/>
      <w:lang w:eastAsia="en-US"/>
    </w:rPr>
  </w:style>
  <w:style w:type="paragraph" w:customStyle="1" w:styleId="StyleBodyTextIndent211pt">
    <w:name w:val="Style Body Text Indent 2 + 11 pt"/>
    <w:basedOn w:val="BodyTextIndent2"/>
    <w:autoRedefine/>
    <w:rsid w:val="00A17B0F"/>
    <w:pPr>
      <w:tabs>
        <w:tab w:val="left" w:pos="1134"/>
        <w:tab w:val="right" w:pos="4820"/>
        <w:tab w:val="right" w:pos="6521"/>
        <w:tab w:val="right" w:pos="8222"/>
      </w:tabs>
      <w:spacing w:after="0" w:line="240" w:lineRule="auto"/>
      <w:ind w:left="567" w:hanging="567"/>
    </w:pPr>
    <w:rPr>
      <w:rFonts w:ascii="Times New Roman" w:hAnsi="Times New Roman"/>
      <w:sz w:val="20"/>
      <w:lang w:val="sk-SK"/>
    </w:rPr>
  </w:style>
  <w:style w:type="paragraph" w:customStyle="1" w:styleId="StyleFooter11pt">
    <w:name w:val="Style Footer + 11 pt"/>
    <w:basedOn w:val="Footer"/>
    <w:rsid w:val="00A17B0F"/>
    <w:pPr>
      <w:tabs>
        <w:tab w:val="clear" w:pos="4536"/>
        <w:tab w:val="clear" w:pos="9072"/>
        <w:tab w:val="center" w:pos="4320"/>
        <w:tab w:val="right" w:pos="8640"/>
      </w:tabs>
      <w:jc w:val="both"/>
    </w:pPr>
    <w:rPr>
      <w:rFonts w:ascii="RomanEES" w:hAnsi="RomanEES"/>
      <w:sz w:val="20"/>
      <w:szCs w:val="20"/>
      <w:lang w:eastAsia="en-US"/>
    </w:rPr>
  </w:style>
  <w:style w:type="paragraph" w:customStyle="1" w:styleId="StyleFooterTimesNewRoman11pt">
    <w:name w:val="Style Footer + Times New Roman 11 pt"/>
    <w:basedOn w:val="Footer"/>
    <w:rsid w:val="00A17B0F"/>
    <w:pPr>
      <w:tabs>
        <w:tab w:val="clear" w:pos="4536"/>
        <w:tab w:val="clear" w:pos="9072"/>
        <w:tab w:val="center" w:pos="4320"/>
        <w:tab w:val="right" w:pos="8640"/>
      </w:tabs>
      <w:jc w:val="both"/>
    </w:pPr>
    <w:rPr>
      <w:sz w:val="20"/>
      <w:szCs w:val="20"/>
      <w:lang w:eastAsia="en-US"/>
    </w:rPr>
  </w:style>
  <w:style w:type="character" w:customStyle="1" w:styleId="StyleFooterTimesNewRoman11ptChar">
    <w:name w:val="Style Footer + Times New Roman 11 pt Char"/>
    <w:basedOn w:val="FooterChar"/>
    <w:rsid w:val="00A17B0F"/>
    <w:rPr>
      <w:rFonts w:ascii="RomanEES" w:hAnsi="RomanEES"/>
      <w:sz w:val="24"/>
      <w:lang w:val="en-US" w:eastAsia="en-US" w:bidi="ar-SA"/>
    </w:rPr>
  </w:style>
  <w:style w:type="paragraph" w:customStyle="1" w:styleId="StyleTimesNewRoman11ptRight">
    <w:name w:val="Style Times New Roman 11 pt Right"/>
    <w:basedOn w:val="Normal"/>
    <w:rsid w:val="00A17B0F"/>
    <w:pPr>
      <w:jc w:val="right"/>
    </w:pPr>
    <w:rPr>
      <w:sz w:val="20"/>
      <w:szCs w:val="20"/>
      <w:lang w:eastAsia="en-US"/>
    </w:rPr>
  </w:style>
  <w:style w:type="paragraph" w:customStyle="1" w:styleId="StyleTimesNewRoman11ptLeftLeft006Hanging019">
    <w:name w:val="Style Times New Roman 11 pt Left Left:  006&quot; Hanging:  019&quot;"/>
    <w:basedOn w:val="Normal"/>
    <w:rsid w:val="00A17B0F"/>
    <w:pPr>
      <w:ind w:left="360" w:hanging="270"/>
    </w:pPr>
    <w:rPr>
      <w:sz w:val="20"/>
      <w:szCs w:val="20"/>
      <w:lang w:eastAsia="en-US"/>
    </w:rPr>
  </w:style>
  <w:style w:type="paragraph" w:customStyle="1" w:styleId="StyleTimesNewRoman11ptLeftLeft006">
    <w:name w:val="Style Times New Roman 11 pt Left Left:  006&quot;"/>
    <w:basedOn w:val="Normal"/>
    <w:rsid w:val="00A17B0F"/>
    <w:pPr>
      <w:ind w:left="90"/>
    </w:pPr>
    <w:rPr>
      <w:sz w:val="20"/>
      <w:szCs w:val="20"/>
      <w:lang w:eastAsia="en-US"/>
    </w:rPr>
  </w:style>
  <w:style w:type="paragraph" w:customStyle="1" w:styleId="StyleTimesNewRoman11ptLeftLeft0Hanging025">
    <w:name w:val="Style Times New Roman 11 pt Left Left:  0&quot; Hanging:  025&quot;"/>
    <w:basedOn w:val="Normal"/>
    <w:rsid w:val="00A17B0F"/>
    <w:pPr>
      <w:ind w:left="360" w:hanging="360"/>
    </w:pPr>
    <w:rPr>
      <w:sz w:val="20"/>
      <w:szCs w:val="20"/>
      <w:lang w:eastAsia="en-US"/>
    </w:rPr>
  </w:style>
  <w:style w:type="paragraph" w:customStyle="1" w:styleId="StyleTimesNewRoman11ptLeft-011Firstline01">
    <w:name w:val="Style Times New Roman 11 pt Left:  -011&quot; First line:  01&quot;"/>
    <w:basedOn w:val="Normal"/>
    <w:rsid w:val="00A17B0F"/>
    <w:pPr>
      <w:ind w:left="-162" w:firstLine="142"/>
      <w:jc w:val="both"/>
    </w:pPr>
    <w:rPr>
      <w:sz w:val="20"/>
      <w:szCs w:val="20"/>
      <w:lang w:eastAsia="en-US"/>
    </w:rPr>
  </w:style>
  <w:style w:type="paragraph" w:customStyle="1" w:styleId="StyleTimesNewRoman11ptRightRight-004">
    <w:name w:val="Style Times New Roman 11 pt Right Right:  -004&quot;"/>
    <w:basedOn w:val="Normal"/>
    <w:rsid w:val="00A17B0F"/>
    <w:pPr>
      <w:ind w:right="-54"/>
      <w:jc w:val="right"/>
    </w:pPr>
    <w:rPr>
      <w:sz w:val="20"/>
      <w:szCs w:val="20"/>
      <w:lang w:eastAsia="en-US"/>
    </w:rPr>
  </w:style>
  <w:style w:type="paragraph" w:customStyle="1" w:styleId="Style11ptLeft002">
    <w:name w:val="Style 11 pt Left:  002&quot;"/>
    <w:basedOn w:val="Normal"/>
    <w:rsid w:val="00A17B0F"/>
    <w:pPr>
      <w:ind w:left="34"/>
      <w:jc w:val="both"/>
    </w:pPr>
    <w:rPr>
      <w:rFonts w:ascii="RomanEES" w:hAnsi="RomanEES"/>
      <w:sz w:val="20"/>
      <w:szCs w:val="20"/>
      <w:lang w:eastAsia="en-US"/>
    </w:rPr>
  </w:style>
  <w:style w:type="paragraph" w:customStyle="1" w:styleId="StyleTimesNewRoman11ptLeftLeft013">
    <w:name w:val="Style Times New Roman 11 pt Left Left:  013&quot;"/>
    <w:basedOn w:val="Normal"/>
    <w:rsid w:val="00A17B0F"/>
    <w:pPr>
      <w:ind w:left="180"/>
    </w:pPr>
    <w:rPr>
      <w:sz w:val="20"/>
      <w:szCs w:val="20"/>
      <w:lang w:eastAsia="en-US"/>
    </w:rPr>
  </w:style>
  <w:style w:type="paragraph" w:customStyle="1" w:styleId="StyleTimesNewRoman11ptRightRight-005">
    <w:name w:val="Style Times New Roman 11 pt Right Right:  -005&quot;"/>
    <w:basedOn w:val="Normal"/>
    <w:rsid w:val="00A17B0F"/>
    <w:pPr>
      <w:ind w:right="-74"/>
      <w:jc w:val="right"/>
    </w:pPr>
    <w:rPr>
      <w:sz w:val="20"/>
      <w:szCs w:val="20"/>
      <w:lang w:eastAsia="en-US"/>
    </w:rPr>
  </w:style>
  <w:style w:type="paragraph" w:customStyle="1" w:styleId="StyleTimesNewRoman11ptRightRight-0041">
    <w:name w:val="Style Times New Roman 11 pt Right Right:  -004&quot;1"/>
    <w:basedOn w:val="Normal"/>
    <w:rsid w:val="00A17B0F"/>
    <w:pPr>
      <w:ind w:right="-57"/>
      <w:jc w:val="right"/>
    </w:pPr>
    <w:rPr>
      <w:sz w:val="20"/>
      <w:szCs w:val="20"/>
      <w:lang w:eastAsia="en-US"/>
    </w:rPr>
  </w:style>
  <w:style w:type="paragraph" w:customStyle="1" w:styleId="CommentSubject1">
    <w:name w:val="Comment Subject1"/>
    <w:basedOn w:val="CommentText"/>
    <w:next w:val="CommentText"/>
    <w:semiHidden/>
    <w:rsid w:val="00A17B0F"/>
    <w:pPr>
      <w:jc w:val="both"/>
    </w:pPr>
    <w:rPr>
      <w:rFonts w:ascii="RomanEES" w:hAnsi="RomanEES"/>
      <w:b/>
      <w:bCs/>
      <w:lang w:eastAsia="en-US"/>
    </w:rPr>
  </w:style>
  <w:style w:type="paragraph" w:customStyle="1" w:styleId="AuditBodyab">
    <w:name w:val="AuditBody.ab"/>
    <w:basedOn w:val="Normal"/>
    <w:rsid w:val="00A17B0F"/>
    <w:pPr>
      <w:autoSpaceDE w:val="0"/>
      <w:autoSpaceDN w:val="0"/>
      <w:spacing w:before="80" w:after="80" w:line="240" w:lineRule="atLeast"/>
      <w:jc w:val="both"/>
    </w:pPr>
    <w:rPr>
      <w:rFonts w:ascii="Helvetica" w:hAnsi="Helvetica" w:cs="Helvetica"/>
      <w:sz w:val="20"/>
      <w:szCs w:val="20"/>
      <w:lang w:eastAsia="en-US"/>
    </w:rPr>
  </w:style>
  <w:style w:type="paragraph" w:customStyle="1" w:styleId="oo">
    <w:name w:val="oo"/>
    <w:basedOn w:val="Normal"/>
    <w:rsid w:val="00A17B0F"/>
    <w:pPr>
      <w:widowControl w:val="0"/>
      <w:autoSpaceDE w:val="0"/>
      <w:autoSpaceDN w:val="0"/>
      <w:ind w:left="432" w:hanging="432"/>
      <w:jc w:val="both"/>
    </w:pPr>
    <w:rPr>
      <w:rFonts w:ascii="Times" w:hAnsi="Times" w:cs="Arial Unicode MS"/>
      <w:sz w:val="20"/>
      <w:szCs w:val="20"/>
      <w:lang w:val="en-US" w:eastAsia="en-US"/>
    </w:rPr>
  </w:style>
  <w:style w:type="paragraph" w:customStyle="1" w:styleId="nadpis3">
    <w:name w:val="nadpis 3"/>
    <w:basedOn w:val="Normal"/>
    <w:rsid w:val="00A17B0F"/>
    <w:pPr>
      <w:autoSpaceDE w:val="0"/>
      <w:autoSpaceDN w:val="0"/>
      <w:spacing w:line="360" w:lineRule="atLeast"/>
      <w:ind w:left="709" w:right="18" w:hanging="709"/>
      <w:jc w:val="both"/>
    </w:pPr>
    <w:rPr>
      <w:rFonts w:ascii="Times" w:hAnsi="Times" w:cs="Arial Unicode MS"/>
      <w:lang w:eastAsia="en-US"/>
    </w:rPr>
  </w:style>
  <w:style w:type="paragraph" w:customStyle="1" w:styleId="xl24">
    <w:name w:val="xl24"/>
    <w:basedOn w:val="Normal"/>
    <w:rsid w:val="00A17B0F"/>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eastAsia="Arial Unicode MS"/>
      <w:b/>
      <w:bCs/>
    </w:rPr>
  </w:style>
  <w:style w:type="paragraph" w:customStyle="1" w:styleId="xl25">
    <w:name w:val="xl25"/>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Arial Unicode MS"/>
      <w:sz w:val="16"/>
      <w:szCs w:val="16"/>
    </w:rPr>
  </w:style>
  <w:style w:type="paragraph" w:customStyle="1" w:styleId="xl26">
    <w:name w:val="xl26"/>
    <w:basedOn w:val="Normal"/>
    <w:rsid w:val="00A17B0F"/>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pPr>
    <w:rPr>
      <w:rFonts w:eastAsia="Arial Unicode MS"/>
      <w:b/>
      <w:bCs/>
      <w:sz w:val="16"/>
      <w:szCs w:val="16"/>
    </w:rPr>
  </w:style>
  <w:style w:type="paragraph" w:customStyle="1" w:styleId="xl27">
    <w:name w:val="xl27"/>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b/>
      <w:bCs/>
      <w:sz w:val="16"/>
      <w:szCs w:val="16"/>
    </w:rPr>
  </w:style>
  <w:style w:type="paragraph" w:customStyle="1" w:styleId="xl28">
    <w:name w:val="xl28"/>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b/>
      <w:bCs/>
      <w:sz w:val="16"/>
      <w:szCs w:val="16"/>
    </w:rPr>
  </w:style>
  <w:style w:type="paragraph" w:customStyle="1" w:styleId="xl29">
    <w:name w:val="xl29"/>
    <w:basedOn w:val="Normal"/>
    <w:rsid w:val="00A17B0F"/>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pPr>
    <w:rPr>
      <w:rFonts w:eastAsia="Arial Unicode MS"/>
      <w:b/>
      <w:bCs/>
    </w:rPr>
  </w:style>
  <w:style w:type="paragraph" w:customStyle="1" w:styleId="xl30">
    <w:name w:val="xl30"/>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Arial Unicode MS"/>
    </w:rPr>
  </w:style>
  <w:style w:type="paragraph" w:customStyle="1" w:styleId="xl31">
    <w:name w:val="xl31"/>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rPr>
  </w:style>
  <w:style w:type="paragraph" w:customStyle="1" w:styleId="xl32">
    <w:name w:val="xl32"/>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b/>
      <w:bCs/>
    </w:rPr>
  </w:style>
  <w:style w:type="paragraph" w:customStyle="1" w:styleId="xl33">
    <w:name w:val="xl33"/>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Arial Unicode MS"/>
      <w:b/>
      <w:bCs/>
    </w:rPr>
  </w:style>
  <w:style w:type="paragraph" w:customStyle="1" w:styleId="xl34">
    <w:name w:val="xl34"/>
    <w:basedOn w:val="Normal"/>
    <w:rsid w:val="00A17B0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rPr>
  </w:style>
  <w:style w:type="paragraph" w:customStyle="1" w:styleId="nadpis1">
    <w:name w:val="nadpis 1"/>
    <w:basedOn w:val="Normal"/>
    <w:rsid w:val="00A17B0F"/>
    <w:pPr>
      <w:autoSpaceDE w:val="0"/>
      <w:autoSpaceDN w:val="0"/>
      <w:spacing w:line="360" w:lineRule="atLeast"/>
      <w:ind w:left="709" w:right="38" w:hanging="709"/>
      <w:jc w:val="both"/>
    </w:pPr>
    <w:rPr>
      <w:rFonts w:ascii="Times" w:hAnsi="Times" w:cs="Arial Unicode MS"/>
      <w:sz w:val="36"/>
      <w:szCs w:val="36"/>
      <w:lang w:eastAsia="en-US"/>
    </w:rPr>
  </w:style>
  <w:style w:type="paragraph" w:customStyle="1" w:styleId="textonormal">
    <w:name w:val="texto normal"/>
    <w:basedOn w:val="Normal"/>
    <w:rsid w:val="00A17B0F"/>
    <w:pPr>
      <w:spacing w:after="240"/>
      <w:ind w:left="540"/>
    </w:pPr>
    <w:rPr>
      <w:rFonts w:ascii="Arial" w:hAnsi="Arial"/>
      <w:sz w:val="16"/>
      <w:szCs w:val="20"/>
      <w:lang w:val="en-GB" w:eastAsia="en-US"/>
    </w:rPr>
  </w:style>
  <w:style w:type="paragraph" w:customStyle="1" w:styleId="xl35">
    <w:name w:val="xl35"/>
    <w:basedOn w:val="Normal"/>
    <w:rsid w:val="00A17B0F"/>
    <w:pPr>
      <w:pBdr>
        <w:bottom w:val="single" w:sz="4" w:space="0" w:color="auto"/>
      </w:pBdr>
      <w:spacing w:before="100" w:beforeAutospacing="1" w:after="100" w:afterAutospacing="1"/>
      <w:jc w:val="right"/>
    </w:pPr>
    <w:rPr>
      <w:rFonts w:eastAsia="Arial Unicode MS"/>
    </w:rPr>
  </w:style>
  <w:style w:type="paragraph" w:customStyle="1" w:styleId="xl36">
    <w:name w:val="xl36"/>
    <w:basedOn w:val="Normal"/>
    <w:rsid w:val="00A17B0F"/>
    <w:pPr>
      <w:pBdr>
        <w:bottom w:val="double" w:sz="6" w:space="0" w:color="auto"/>
      </w:pBdr>
      <w:spacing w:before="100" w:beforeAutospacing="1" w:after="100" w:afterAutospacing="1"/>
      <w:jc w:val="right"/>
    </w:pPr>
    <w:rPr>
      <w:rFonts w:eastAsia="Arial Unicode MS"/>
    </w:rPr>
  </w:style>
  <w:style w:type="paragraph" w:customStyle="1" w:styleId="xl37">
    <w:name w:val="xl37"/>
    <w:basedOn w:val="Normal"/>
    <w:rsid w:val="00A17B0F"/>
    <w:pPr>
      <w:pBdr>
        <w:bottom w:val="single" w:sz="4" w:space="0" w:color="auto"/>
      </w:pBdr>
      <w:spacing w:before="100" w:beforeAutospacing="1" w:after="100" w:afterAutospacing="1"/>
      <w:jc w:val="center"/>
    </w:pPr>
    <w:rPr>
      <w:rFonts w:ascii="RomanEES" w:eastAsia="Arial Unicode MS" w:hAnsi="RomanEES" w:cs="Arial Unicode MS"/>
    </w:rPr>
  </w:style>
  <w:style w:type="character" w:styleId="Emphasis">
    <w:name w:val="Emphasis"/>
    <w:qFormat/>
    <w:rsid w:val="00A17B0F"/>
    <w:rPr>
      <w:i/>
      <w:iCs/>
    </w:rPr>
  </w:style>
  <w:style w:type="paragraph" w:customStyle="1" w:styleId="Textbubliny1">
    <w:name w:val="Text bubliny1"/>
    <w:basedOn w:val="Normal"/>
    <w:semiHidden/>
    <w:rsid w:val="00A17B0F"/>
    <w:pPr>
      <w:jc w:val="both"/>
    </w:pPr>
    <w:rPr>
      <w:rFonts w:ascii="Tahoma" w:hAnsi="Tahoma" w:cs="Tahoma"/>
      <w:sz w:val="16"/>
      <w:szCs w:val="16"/>
      <w:lang w:eastAsia="en-US"/>
    </w:rPr>
  </w:style>
  <w:style w:type="paragraph" w:customStyle="1" w:styleId="RNormal">
    <w:name w:val="RNormal"/>
    <w:basedOn w:val="Normal"/>
    <w:rsid w:val="00A17B0F"/>
    <w:pPr>
      <w:jc w:val="both"/>
    </w:pPr>
    <w:rPr>
      <w:sz w:val="22"/>
      <w:lang w:val="en-US" w:eastAsia="en-US"/>
    </w:rPr>
  </w:style>
  <w:style w:type="paragraph" w:styleId="ListBullet">
    <w:name w:val="List Bullet"/>
    <w:basedOn w:val="BodyText"/>
    <w:rsid w:val="00A17B0F"/>
    <w:pPr>
      <w:numPr>
        <w:numId w:val="12"/>
      </w:numPr>
      <w:spacing w:before="130" w:after="130"/>
      <w:jc w:val="both"/>
    </w:pPr>
    <w:rPr>
      <w:rFonts w:ascii="RomanEES" w:hAnsi="RomanEES"/>
      <w:sz w:val="20"/>
      <w:szCs w:val="20"/>
      <w:lang w:eastAsia="en-US"/>
    </w:rPr>
  </w:style>
  <w:style w:type="paragraph" w:customStyle="1" w:styleId="NormalTimesNewRoman">
    <w:name w:val="Normal + Times New Roman"/>
    <w:basedOn w:val="Normal"/>
    <w:rsid w:val="00A17B0F"/>
    <w:pPr>
      <w:tabs>
        <w:tab w:val="left" w:pos="1134"/>
        <w:tab w:val="right" w:pos="4820"/>
        <w:tab w:val="right" w:pos="6521"/>
        <w:tab w:val="right" w:pos="8222"/>
        <w:tab w:val="left" w:pos="9072"/>
      </w:tabs>
      <w:jc w:val="both"/>
    </w:pPr>
    <w:rPr>
      <w:sz w:val="20"/>
      <w:szCs w:val="20"/>
      <w:lang w:eastAsia="en-US"/>
    </w:rPr>
  </w:style>
  <w:style w:type="paragraph" w:customStyle="1" w:styleId="SOR">
    <w:name w:val="SOR"/>
    <w:basedOn w:val="BodyText"/>
    <w:rsid w:val="00A17B0F"/>
    <w:pPr>
      <w:spacing w:after="0"/>
      <w:jc w:val="both"/>
    </w:pPr>
    <w:rPr>
      <w:rFonts w:ascii="Arial" w:hAnsi="Arial" w:cs="Arial"/>
      <w:sz w:val="22"/>
      <w:szCs w:val="20"/>
    </w:rPr>
  </w:style>
  <w:style w:type="paragraph" w:customStyle="1" w:styleId="StylebodyEYGothicCondDemi">
    <w:name w:val="Style body + EY Gothic Cond Demi"/>
    <w:basedOn w:val="Normal"/>
    <w:rsid w:val="00A17B0F"/>
    <w:pPr>
      <w:overflowPunct w:val="0"/>
      <w:autoSpaceDE w:val="0"/>
      <w:autoSpaceDN w:val="0"/>
      <w:adjustRightInd w:val="0"/>
      <w:spacing w:after="120" w:line="240" w:lineRule="exact"/>
      <w:textAlignment w:val="baseline"/>
    </w:pPr>
    <w:rPr>
      <w:rFonts w:ascii="EY Gothic Comp Book" w:hAnsi="EY Gothic Comp Book"/>
      <w:color w:val="000000"/>
      <w:sz w:val="20"/>
      <w:szCs w:val="20"/>
      <w:lang w:val="en-GB" w:eastAsia="en-US"/>
    </w:rPr>
  </w:style>
  <w:style w:type="table" w:styleId="TableGrid">
    <w:name w:val="Table Grid"/>
    <w:basedOn w:val="TableNormal"/>
    <w:rsid w:val="00A17B0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rsid w:val="00A17B0F"/>
    <w:pPr>
      <w:overflowPunct w:val="0"/>
      <w:autoSpaceDE w:val="0"/>
      <w:autoSpaceDN w:val="0"/>
      <w:adjustRightInd w:val="0"/>
      <w:spacing w:after="120" w:line="240" w:lineRule="exact"/>
      <w:textAlignment w:val="baseline"/>
    </w:pPr>
    <w:rPr>
      <w:color w:val="000000"/>
      <w:sz w:val="20"/>
      <w:szCs w:val="20"/>
      <w:lang w:val="en-GB" w:eastAsia="en-US"/>
    </w:rPr>
  </w:style>
  <w:style w:type="character" w:customStyle="1" w:styleId="bodyChar">
    <w:name w:val="body Char"/>
    <w:link w:val="body"/>
    <w:rsid w:val="00A17B0F"/>
    <w:rPr>
      <w:color w:val="000000"/>
      <w:lang w:val="en-GB" w:eastAsia="en-US" w:bidi="ar-SA"/>
    </w:rPr>
  </w:style>
  <w:style w:type="paragraph" w:customStyle="1" w:styleId="Indent3">
    <w:name w:val="Indent 3"/>
    <w:basedOn w:val="Normal"/>
    <w:rsid w:val="00A17B0F"/>
    <w:pPr>
      <w:numPr>
        <w:numId w:val="13"/>
      </w:numPr>
      <w:tabs>
        <w:tab w:val="left" w:pos="-1440"/>
      </w:tabs>
      <w:suppressAutoHyphens/>
      <w:overflowPunct w:val="0"/>
      <w:autoSpaceDE w:val="0"/>
      <w:autoSpaceDN w:val="0"/>
      <w:adjustRightInd w:val="0"/>
      <w:jc w:val="both"/>
      <w:textAlignment w:val="baseline"/>
    </w:pPr>
    <w:rPr>
      <w:sz w:val="20"/>
      <w:szCs w:val="20"/>
      <w:lang w:val="en-GB" w:eastAsia="en-US"/>
    </w:rPr>
  </w:style>
  <w:style w:type="character" w:customStyle="1" w:styleId="StyleAuto">
    <w:name w:val="Style Auto"/>
    <w:rsid w:val="00A17B0F"/>
    <w:rPr>
      <w:rFonts w:ascii="Verdana" w:hAnsi="Verdana"/>
      <w:color w:val="auto"/>
      <w:sz w:val="17"/>
    </w:rPr>
  </w:style>
  <w:style w:type="paragraph" w:customStyle="1" w:styleId="xl59">
    <w:name w:val="xl59"/>
    <w:basedOn w:val="Normal"/>
    <w:rsid w:val="00A4279B"/>
    <w:pPr>
      <w:spacing w:before="100" w:beforeAutospacing="1" w:after="100" w:afterAutospacing="1"/>
      <w:jc w:val="both"/>
    </w:pPr>
    <w:rPr>
      <w:rFonts w:ascii="Arial" w:hAnsi="Arial" w:cs="Arial"/>
      <w:sz w:val="17"/>
      <w:lang w:val="en-US" w:eastAsia="en-US"/>
    </w:rPr>
  </w:style>
  <w:style w:type="paragraph" w:customStyle="1" w:styleId="StyleLeft1cm">
    <w:name w:val="Style Left:  1 cm"/>
    <w:basedOn w:val="Normal"/>
    <w:uiPriority w:val="99"/>
    <w:rsid w:val="00A4279B"/>
    <w:pPr>
      <w:ind w:left="567"/>
      <w:jc w:val="both"/>
    </w:pPr>
    <w:rPr>
      <w:rFonts w:ascii="Times" w:hAnsi="Times"/>
      <w:sz w:val="20"/>
      <w:szCs w:val="20"/>
      <w:lang w:val="en-GB" w:eastAsia="cs-CZ"/>
    </w:rPr>
  </w:style>
  <w:style w:type="paragraph" w:customStyle="1" w:styleId="Style75ptBlackRight-005cm">
    <w:name w:val="Style 75 pt Black Right:  -005 cm"/>
    <w:basedOn w:val="Normal"/>
    <w:rsid w:val="00BB5146"/>
    <w:pPr>
      <w:ind w:right="-30"/>
      <w:jc w:val="both"/>
    </w:pPr>
    <w:rPr>
      <w:color w:val="000000"/>
      <w:sz w:val="20"/>
      <w:szCs w:val="20"/>
      <w:lang w:val="en-GB" w:eastAsia="cs-CZ"/>
    </w:rPr>
  </w:style>
  <w:style w:type="paragraph" w:styleId="ListParagraph">
    <w:name w:val="List Paragraph"/>
    <w:basedOn w:val="Normal"/>
    <w:uiPriority w:val="34"/>
    <w:qFormat/>
    <w:rsid w:val="00BB5146"/>
    <w:pPr>
      <w:ind w:left="720"/>
    </w:pPr>
    <w:rPr>
      <w:rFonts w:ascii="Times" w:hAnsi="Times"/>
      <w:sz w:val="20"/>
      <w:szCs w:val="20"/>
      <w:lang w:val="en-GB" w:eastAsia="cs-CZ"/>
    </w:rPr>
  </w:style>
  <w:style w:type="paragraph" w:customStyle="1" w:styleId="Style10ptLeft1cmRight001cm">
    <w:name w:val="Style 10 pt Left:  1 cm Right:  001 cm"/>
    <w:basedOn w:val="Normal"/>
    <w:rsid w:val="00AF7DDE"/>
    <w:pPr>
      <w:ind w:left="567" w:right="4"/>
      <w:jc w:val="both"/>
    </w:pPr>
    <w:rPr>
      <w:rFonts w:ascii="Times" w:hAnsi="Times"/>
      <w:sz w:val="20"/>
      <w:szCs w:val="20"/>
      <w:lang w:val="en-GB" w:eastAsia="cs-CZ"/>
    </w:rPr>
  </w:style>
  <w:style w:type="paragraph" w:customStyle="1" w:styleId="StyleLeft1cmRight001cm1">
    <w:name w:val="Style Left:  1 cm Right:  001 cm1"/>
    <w:basedOn w:val="Normal"/>
    <w:rsid w:val="00AF7DDE"/>
    <w:pPr>
      <w:ind w:left="567" w:right="4"/>
      <w:jc w:val="both"/>
    </w:pPr>
    <w:rPr>
      <w:sz w:val="20"/>
      <w:szCs w:val="20"/>
      <w:lang w:val="en-GB" w:eastAsia="cs-CZ"/>
    </w:rPr>
  </w:style>
  <w:style w:type="paragraph" w:customStyle="1" w:styleId="T1">
    <w:name w:val="T1"/>
    <w:basedOn w:val="Normal"/>
    <w:rsid w:val="00A5134A"/>
    <w:pPr>
      <w:widowControl w:val="0"/>
    </w:pPr>
    <w:rPr>
      <w:rFonts w:ascii="Verdana" w:hAnsi="Verdana"/>
      <w:b/>
      <w:sz w:val="17"/>
      <w:szCs w:val="20"/>
      <w:lang w:val="en-GB" w:eastAsia="en-US"/>
    </w:rPr>
  </w:style>
  <w:style w:type="character" w:customStyle="1" w:styleId="HeaderChar">
    <w:name w:val="Header Char"/>
    <w:link w:val="Header"/>
    <w:uiPriority w:val="99"/>
    <w:rsid w:val="006A0B29"/>
    <w:rPr>
      <w:sz w:val="24"/>
      <w:szCs w:val="24"/>
      <w:lang w:val="sk-SK" w:eastAsia="sk-SK"/>
    </w:rPr>
  </w:style>
  <w:style w:type="paragraph" w:customStyle="1" w:styleId="TT">
    <w:name w:val="TT"/>
    <w:basedOn w:val="Normal"/>
    <w:rsid w:val="006A0B29"/>
    <w:pPr>
      <w:widowControl w:val="0"/>
      <w:overflowPunct w:val="0"/>
      <w:autoSpaceDE w:val="0"/>
      <w:autoSpaceDN w:val="0"/>
      <w:adjustRightInd w:val="0"/>
      <w:spacing w:line="301" w:lineRule="exact"/>
      <w:jc w:val="both"/>
    </w:pPr>
    <w:rPr>
      <w:rFonts w:ascii="Book Antiqua" w:hAnsi="Book Antiqua"/>
      <w:sz w:val="19"/>
      <w:szCs w:val="20"/>
      <w:lang w:val="en-AU" w:eastAsia="en-US"/>
    </w:rPr>
  </w:style>
  <w:style w:type="paragraph" w:customStyle="1" w:styleId="Heading1h1">
    <w:name w:val="Heading 1.h1"/>
    <w:basedOn w:val="Normal"/>
    <w:next w:val="Normal"/>
    <w:rsid w:val="006A0B29"/>
    <w:pPr>
      <w:widowControl w:val="0"/>
      <w:numPr>
        <w:numId w:val="25"/>
      </w:numPr>
      <w:overflowPunct w:val="0"/>
      <w:autoSpaceDE w:val="0"/>
      <w:autoSpaceDN w:val="0"/>
      <w:adjustRightInd w:val="0"/>
      <w:jc w:val="both"/>
    </w:pPr>
    <w:rPr>
      <w:rFonts w:ascii="Verdana" w:hAnsi="Verdana"/>
      <w:b/>
      <w:caps/>
      <w:sz w:val="17"/>
      <w:szCs w:val="20"/>
      <w:lang w:eastAsia="en-US"/>
    </w:rPr>
  </w:style>
  <w:style w:type="paragraph" w:styleId="Revision">
    <w:name w:val="Revision"/>
    <w:hidden/>
    <w:uiPriority w:val="99"/>
    <w:semiHidden/>
    <w:rsid w:val="003817CF"/>
    <w:rPr>
      <w:sz w:val="24"/>
      <w:szCs w:val="24"/>
      <w:lang w:val="sk-SK" w:eastAsia="sk-SK"/>
    </w:rPr>
  </w:style>
  <w:style w:type="paragraph" w:customStyle="1" w:styleId="Default">
    <w:name w:val="Default"/>
    <w:rsid w:val="00DC7F6C"/>
    <w:pPr>
      <w:autoSpaceDE w:val="0"/>
      <w:autoSpaceDN w:val="0"/>
      <w:adjustRightInd w:val="0"/>
    </w:pPr>
    <w:rPr>
      <w:color w:val="000000"/>
      <w:sz w:val="24"/>
      <w:szCs w:val="24"/>
    </w:rPr>
  </w:style>
  <w:style w:type="paragraph" w:styleId="NormalWeb">
    <w:name w:val="Normal (Web)"/>
    <w:basedOn w:val="Normal"/>
    <w:uiPriority w:val="99"/>
    <w:rsid w:val="00DC7F6C"/>
    <w:pPr>
      <w:spacing w:before="100" w:beforeAutospacing="1" w:after="100" w:afterAutospacing="1"/>
    </w:pPr>
    <w:rPr>
      <w:rFonts w:ascii="Arial Unicode MS" w:eastAsia="Arial Unicode MS" w:hAnsi="Arial Unicode MS" w:cs="Arial Unicode M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75635">
      <w:bodyDiv w:val="1"/>
      <w:marLeft w:val="0"/>
      <w:marRight w:val="0"/>
      <w:marTop w:val="0"/>
      <w:marBottom w:val="0"/>
      <w:divBdr>
        <w:top w:val="none" w:sz="0" w:space="0" w:color="auto"/>
        <w:left w:val="none" w:sz="0" w:space="0" w:color="auto"/>
        <w:bottom w:val="none" w:sz="0" w:space="0" w:color="auto"/>
        <w:right w:val="none" w:sz="0" w:space="0" w:color="auto"/>
      </w:divBdr>
    </w:div>
    <w:div w:id="585236549">
      <w:bodyDiv w:val="1"/>
      <w:marLeft w:val="0"/>
      <w:marRight w:val="0"/>
      <w:marTop w:val="0"/>
      <w:marBottom w:val="0"/>
      <w:divBdr>
        <w:top w:val="none" w:sz="0" w:space="0" w:color="auto"/>
        <w:left w:val="none" w:sz="0" w:space="0" w:color="auto"/>
        <w:bottom w:val="none" w:sz="0" w:space="0" w:color="auto"/>
        <w:right w:val="none" w:sz="0" w:space="0" w:color="auto"/>
      </w:divBdr>
    </w:div>
    <w:div w:id="1403066726">
      <w:bodyDiv w:val="1"/>
      <w:marLeft w:val="0"/>
      <w:marRight w:val="0"/>
      <w:marTop w:val="0"/>
      <w:marBottom w:val="0"/>
      <w:divBdr>
        <w:top w:val="none" w:sz="0" w:space="0" w:color="auto"/>
        <w:left w:val="none" w:sz="0" w:space="0" w:color="auto"/>
        <w:bottom w:val="none" w:sz="0" w:space="0" w:color="auto"/>
        <w:right w:val="none" w:sz="0" w:space="0" w:color="auto"/>
      </w:divBdr>
    </w:div>
    <w:div w:id="1434128911">
      <w:bodyDiv w:val="1"/>
      <w:marLeft w:val="0"/>
      <w:marRight w:val="0"/>
      <w:marTop w:val="0"/>
      <w:marBottom w:val="0"/>
      <w:divBdr>
        <w:top w:val="none" w:sz="0" w:space="0" w:color="auto"/>
        <w:left w:val="none" w:sz="0" w:space="0" w:color="auto"/>
        <w:bottom w:val="none" w:sz="0" w:space="0" w:color="auto"/>
        <w:right w:val="none" w:sz="0" w:space="0" w:color="auto"/>
      </w:divBdr>
    </w:div>
    <w:div w:id="1853762854">
      <w:bodyDiv w:val="1"/>
      <w:marLeft w:val="0"/>
      <w:marRight w:val="0"/>
      <w:marTop w:val="0"/>
      <w:marBottom w:val="0"/>
      <w:divBdr>
        <w:top w:val="none" w:sz="0" w:space="0" w:color="auto"/>
        <w:left w:val="none" w:sz="0" w:space="0" w:color="auto"/>
        <w:bottom w:val="none" w:sz="0" w:space="0" w:color="auto"/>
        <w:right w:val="none" w:sz="0" w:space="0" w:color="auto"/>
      </w:divBdr>
    </w:div>
    <w:div w:id="1904676945">
      <w:bodyDiv w:val="1"/>
      <w:marLeft w:val="0"/>
      <w:marRight w:val="0"/>
      <w:marTop w:val="0"/>
      <w:marBottom w:val="0"/>
      <w:divBdr>
        <w:top w:val="none" w:sz="0" w:space="0" w:color="auto"/>
        <w:left w:val="none" w:sz="0" w:space="0" w:color="auto"/>
        <w:bottom w:val="none" w:sz="0" w:space="0" w:color="auto"/>
        <w:right w:val="none" w:sz="0" w:space="0" w:color="auto"/>
      </w:divBdr>
    </w:div>
    <w:div w:id="2059081927">
      <w:bodyDiv w:val="1"/>
      <w:marLeft w:val="0"/>
      <w:marRight w:val="0"/>
      <w:marTop w:val="0"/>
      <w:marBottom w:val="0"/>
      <w:divBdr>
        <w:top w:val="none" w:sz="0" w:space="0" w:color="auto"/>
        <w:left w:val="none" w:sz="0" w:space="0" w:color="auto"/>
        <w:bottom w:val="none" w:sz="0" w:space="0" w:color="auto"/>
        <w:right w:val="none" w:sz="0" w:space="0" w:color="auto"/>
      </w:divBdr>
    </w:div>
    <w:div w:id="2076463816">
      <w:bodyDiv w:val="1"/>
      <w:marLeft w:val="0"/>
      <w:marRight w:val="0"/>
      <w:marTop w:val="0"/>
      <w:marBottom w:val="0"/>
      <w:divBdr>
        <w:top w:val="none" w:sz="0" w:space="0" w:color="auto"/>
        <w:left w:val="none" w:sz="0" w:space="0" w:color="auto"/>
        <w:bottom w:val="none" w:sz="0" w:space="0" w:color="auto"/>
        <w:right w:val="none" w:sz="0" w:space="0" w:color="auto"/>
      </w:divBdr>
    </w:div>
    <w:div w:id="2106995682">
      <w:bodyDiv w:val="1"/>
      <w:marLeft w:val="0"/>
      <w:marRight w:val="0"/>
      <w:marTop w:val="0"/>
      <w:marBottom w:val="0"/>
      <w:divBdr>
        <w:top w:val="none" w:sz="0" w:space="0" w:color="auto"/>
        <w:left w:val="none" w:sz="0" w:space="0" w:color="auto"/>
        <w:bottom w:val="none" w:sz="0" w:space="0" w:color="auto"/>
        <w:right w:val="none" w:sz="0" w:space="0" w:color="auto"/>
      </w:divBdr>
    </w:div>
    <w:div w:id="212908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header" Target="header8.xml"/><Relationship Id="rId42" Type="http://schemas.openxmlformats.org/officeDocument/2006/relationships/oleObject" Target="embeddings/oleObject9.bin"/><Relationship Id="rId63" Type="http://schemas.openxmlformats.org/officeDocument/2006/relationships/image" Target="media/image21.emf"/><Relationship Id="rId84" Type="http://schemas.openxmlformats.org/officeDocument/2006/relationships/image" Target="media/image30.emf"/><Relationship Id="rId138" Type="http://schemas.openxmlformats.org/officeDocument/2006/relationships/header" Target="header13.xml"/><Relationship Id="rId159" Type="http://schemas.openxmlformats.org/officeDocument/2006/relationships/oleObject" Target="embeddings/oleObject65.bin"/><Relationship Id="rId170" Type="http://schemas.openxmlformats.org/officeDocument/2006/relationships/image" Target="media/image72.emf"/><Relationship Id="rId191" Type="http://schemas.openxmlformats.org/officeDocument/2006/relationships/oleObject" Target="embeddings/oleObject81.bin"/><Relationship Id="rId196" Type="http://schemas.openxmlformats.org/officeDocument/2006/relationships/image" Target="media/image85.emf"/><Relationship Id="rId200"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oleObject" Target="embeddings/oleObject40.bin"/><Relationship Id="rId11" Type="http://schemas.openxmlformats.org/officeDocument/2006/relationships/header" Target="header2.xml"/><Relationship Id="rId32" Type="http://schemas.openxmlformats.org/officeDocument/2006/relationships/footer" Target="footer5.xml"/><Relationship Id="rId37" Type="http://schemas.openxmlformats.org/officeDocument/2006/relationships/image" Target="media/image8.emf"/><Relationship Id="rId53" Type="http://schemas.openxmlformats.org/officeDocument/2006/relationships/image" Target="media/image16.emf"/><Relationship Id="rId58" Type="http://schemas.openxmlformats.org/officeDocument/2006/relationships/oleObject" Target="embeddings/oleObject17.bin"/><Relationship Id="rId74" Type="http://schemas.openxmlformats.org/officeDocument/2006/relationships/image" Target="media/image25.emf"/><Relationship Id="rId79" Type="http://schemas.openxmlformats.org/officeDocument/2006/relationships/oleObject" Target="embeddings/oleObject26.bin"/><Relationship Id="rId102" Type="http://schemas.openxmlformats.org/officeDocument/2006/relationships/image" Target="media/image39.emf"/><Relationship Id="rId123" Type="http://schemas.openxmlformats.org/officeDocument/2006/relationships/oleObject" Target="embeddings/oleObject48.bin"/><Relationship Id="rId128" Type="http://schemas.openxmlformats.org/officeDocument/2006/relationships/image" Target="media/image52.emf"/><Relationship Id="rId144" Type="http://schemas.openxmlformats.org/officeDocument/2006/relationships/image" Target="media/image59.emf"/><Relationship Id="rId149" Type="http://schemas.openxmlformats.org/officeDocument/2006/relationships/oleObject" Target="embeddings/oleObject60.bin"/><Relationship Id="rId5" Type="http://schemas.microsoft.com/office/2007/relationships/stylesWithEffects" Target="stylesWithEffects.xml"/><Relationship Id="rId90" Type="http://schemas.openxmlformats.org/officeDocument/2006/relationships/image" Target="media/image33.emf"/><Relationship Id="rId95" Type="http://schemas.openxmlformats.org/officeDocument/2006/relationships/oleObject" Target="embeddings/oleObject34.bin"/><Relationship Id="rId160" Type="http://schemas.openxmlformats.org/officeDocument/2006/relationships/image" Target="media/image67.emf"/><Relationship Id="rId165" Type="http://schemas.openxmlformats.org/officeDocument/2006/relationships/oleObject" Target="embeddings/oleObject68.bin"/><Relationship Id="rId181" Type="http://schemas.openxmlformats.org/officeDocument/2006/relationships/oleObject" Target="embeddings/oleObject76.bin"/><Relationship Id="rId186" Type="http://schemas.openxmlformats.org/officeDocument/2006/relationships/image" Target="media/image80.emf"/><Relationship Id="rId22" Type="http://schemas.openxmlformats.org/officeDocument/2006/relationships/header" Target="header9.xml"/><Relationship Id="rId27" Type="http://schemas.openxmlformats.org/officeDocument/2006/relationships/header" Target="header10.xml"/><Relationship Id="rId43" Type="http://schemas.openxmlformats.org/officeDocument/2006/relationships/image" Target="media/image11.e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3.emf"/><Relationship Id="rId113" Type="http://schemas.openxmlformats.org/officeDocument/2006/relationships/oleObject" Target="embeddings/oleObject43.bin"/><Relationship Id="rId118" Type="http://schemas.openxmlformats.org/officeDocument/2006/relationships/image" Target="media/image47.emf"/><Relationship Id="rId134" Type="http://schemas.openxmlformats.org/officeDocument/2006/relationships/image" Target="media/image55.emf"/><Relationship Id="rId139" Type="http://schemas.openxmlformats.org/officeDocument/2006/relationships/image" Target="media/image57.emf"/><Relationship Id="rId80" Type="http://schemas.openxmlformats.org/officeDocument/2006/relationships/image" Target="media/image28.emf"/><Relationship Id="rId85" Type="http://schemas.openxmlformats.org/officeDocument/2006/relationships/oleObject" Target="embeddings/oleObject29.bin"/><Relationship Id="rId150" Type="http://schemas.openxmlformats.org/officeDocument/2006/relationships/image" Target="media/image62.emf"/><Relationship Id="rId155" Type="http://schemas.openxmlformats.org/officeDocument/2006/relationships/oleObject" Target="embeddings/oleObject63.bin"/><Relationship Id="rId171" Type="http://schemas.openxmlformats.org/officeDocument/2006/relationships/oleObject" Target="embeddings/oleObject71.bin"/><Relationship Id="rId176" Type="http://schemas.openxmlformats.org/officeDocument/2006/relationships/image" Target="media/image75.emf"/><Relationship Id="rId192" Type="http://schemas.openxmlformats.org/officeDocument/2006/relationships/image" Target="media/image83.emf"/><Relationship Id="rId197" Type="http://schemas.openxmlformats.org/officeDocument/2006/relationships/oleObject" Target="embeddings/oleObject84.bin"/><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image" Target="media/image6.emf"/><Relationship Id="rId38" Type="http://schemas.openxmlformats.org/officeDocument/2006/relationships/oleObject" Target="embeddings/oleObject7.bin"/><Relationship Id="rId59" Type="http://schemas.openxmlformats.org/officeDocument/2006/relationships/image" Target="media/image19.emf"/><Relationship Id="rId103" Type="http://schemas.openxmlformats.org/officeDocument/2006/relationships/oleObject" Target="embeddings/oleObject38.bin"/><Relationship Id="rId108" Type="http://schemas.openxmlformats.org/officeDocument/2006/relationships/image" Target="media/image42.emf"/><Relationship Id="rId124" Type="http://schemas.openxmlformats.org/officeDocument/2006/relationships/image" Target="media/image50.emf"/><Relationship Id="rId129" Type="http://schemas.openxmlformats.org/officeDocument/2006/relationships/oleObject" Target="embeddings/oleObject51.bin"/><Relationship Id="rId54" Type="http://schemas.openxmlformats.org/officeDocument/2006/relationships/oleObject" Target="embeddings/oleObject15.bin"/><Relationship Id="rId70" Type="http://schemas.openxmlformats.org/officeDocument/2006/relationships/oleObject" Target="embeddings/oleObject22.bin"/><Relationship Id="rId75" Type="http://schemas.openxmlformats.org/officeDocument/2006/relationships/oleObject" Target="embeddings/oleObject24.bin"/><Relationship Id="rId91" Type="http://schemas.openxmlformats.org/officeDocument/2006/relationships/oleObject" Target="embeddings/oleObject32.bin"/><Relationship Id="rId96" Type="http://schemas.openxmlformats.org/officeDocument/2006/relationships/image" Target="media/image36.emf"/><Relationship Id="rId140" Type="http://schemas.openxmlformats.org/officeDocument/2006/relationships/oleObject" Target="embeddings/oleObject56.bin"/><Relationship Id="rId145" Type="http://schemas.openxmlformats.org/officeDocument/2006/relationships/oleObject" Target="embeddings/oleObject58.bin"/><Relationship Id="rId161" Type="http://schemas.openxmlformats.org/officeDocument/2006/relationships/oleObject" Target="embeddings/oleObject66.bin"/><Relationship Id="rId166" Type="http://schemas.openxmlformats.org/officeDocument/2006/relationships/image" Target="media/image70.emf"/><Relationship Id="rId182" Type="http://schemas.openxmlformats.org/officeDocument/2006/relationships/image" Target="media/image78.emf"/><Relationship Id="rId187" Type="http://schemas.openxmlformats.org/officeDocument/2006/relationships/oleObject" Target="embeddings/oleObject79.bin"/><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2.emf"/><Relationship Id="rId28" Type="http://schemas.openxmlformats.org/officeDocument/2006/relationships/image" Target="media/image4.emf"/><Relationship Id="rId49" Type="http://schemas.openxmlformats.org/officeDocument/2006/relationships/image" Target="media/image14.emf"/><Relationship Id="rId114" Type="http://schemas.openxmlformats.org/officeDocument/2006/relationships/image" Target="media/image45.emf"/><Relationship Id="rId119" Type="http://schemas.openxmlformats.org/officeDocument/2006/relationships/oleObject" Target="embeddings/oleObject46.bin"/><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22.emf"/><Relationship Id="rId81" Type="http://schemas.openxmlformats.org/officeDocument/2006/relationships/oleObject" Target="embeddings/oleObject27.bin"/><Relationship Id="rId86" Type="http://schemas.openxmlformats.org/officeDocument/2006/relationships/image" Target="media/image31.emf"/><Relationship Id="rId130" Type="http://schemas.openxmlformats.org/officeDocument/2006/relationships/image" Target="media/image53.emf"/><Relationship Id="rId135" Type="http://schemas.openxmlformats.org/officeDocument/2006/relationships/oleObject" Target="embeddings/oleObject54.bin"/><Relationship Id="rId151" Type="http://schemas.openxmlformats.org/officeDocument/2006/relationships/oleObject" Target="embeddings/oleObject61.bin"/><Relationship Id="rId156" Type="http://schemas.openxmlformats.org/officeDocument/2006/relationships/image" Target="media/image65.emf"/><Relationship Id="rId177" Type="http://schemas.openxmlformats.org/officeDocument/2006/relationships/oleObject" Target="embeddings/oleObject74.bin"/><Relationship Id="rId198" Type="http://schemas.openxmlformats.org/officeDocument/2006/relationships/header" Target="header15.xml"/><Relationship Id="rId172" Type="http://schemas.openxmlformats.org/officeDocument/2006/relationships/image" Target="media/image73.emf"/><Relationship Id="rId193" Type="http://schemas.openxmlformats.org/officeDocument/2006/relationships/oleObject" Target="embeddings/oleObject82.bin"/><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9.emf"/><Relationship Id="rId109" Type="http://schemas.openxmlformats.org/officeDocument/2006/relationships/oleObject" Target="embeddings/oleObject41.bin"/><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7.emf"/><Relationship Id="rId76" Type="http://schemas.openxmlformats.org/officeDocument/2006/relationships/image" Target="media/image26.emf"/><Relationship Id="rId97" Type="http://schemas.openxmlformats.org/officeDocument/2006/relationships/oleObject" Target="embeddings/oleObject35.bin"/><Relationship Id="rId104" Type="http://schemas.openxmlformats.org/officeDocument/2006/relationships/image" Target="media/image40.emf"/><Relationship Id="rId120" Type="http://schemas.openxmlformats.org/officeDocument/2006/relationships/image" Target="media/image48.emf"/><Relationship Id="rId125" Type="http://schemas.openxmlformats.org/officeDocument/2006/relationships/oleObject" Target="embeddings/oleObject49.bin"/><Relationship Id="rId141" Type="http://schemas.openxmlformats.org/officeDocument/2006/relationships/image" Target="media/image58.emf"/><Relationship Id="rId146" Type="http://schemas.openxmlformats.org/officeDocument/2006/relationships/image" Target="media/image60.emf"/><Relationship Id="rId167" Type="http://schemas.openxmlformats.org/officeDocument/2006/relationships/oleObject" Target="embeddings/oleObject69.bin"/><Relationship Id="rId188" Type="http://schemas.openxmlformats.org/officeDocument/2006/relationships/image" Target="media/image81.emf"/><Relationship Id="rId7" Type="http://schemas.openxmlformats.org/officeDocument/2006/relationships/webSettings" Target="webSettings.xml"/><Relationship Id="rId71" Type="http://schemas.openxmlformats.org/officeDocument/2006/relationships/image" Target="media/image24.emf"/><Relationship Id="rId92" Type="http://schemas.openxmlformats.org/officeDocument/2006/relationships/image" Target="media/image34.emf"/><Relationship Id="rId162" Type="http://schemas.openxmlformats.org/officeDocument/2006/relationships/image" Target="media/image68.emf"/><Relationship Id="rId183" Type="http://schemas.openxmlformats.org/officeDocument/2006/relationships/oleObject" Target="embeddings/oleObject77.bin"/><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oleObject" Target="embeddings/oleObject8.bin"/><Relationship Id="rId45" Type="http://schemas.openxmlformats.org/officeDocument/2006/relationships/image" Target="media/image12.emf"/><Relationship Id="rId66" Type="http://schemas.openxmlformats.org/officeDocument/2006/relationships/oleObject" Target="embeddings/oleObject21.bin"/><Relationship Id="rId87" Type="http://schemas.openxmlformats.org/officeDocument/2006/relationships/oleObject" Target="embeddings/oleObject30.bin"/><Relationship Id="rId110" Type="http://schemas.openxmlformats.org/officeDocument/2006/relationships/image" Target="media/image43.e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56.emf"/><Relationship Id="rId157" Type="http://schemas.openxmlformats.org/officeDocument/2006/relationships/oleObject" Target="embeddings/oleObject64.bin"/><Relationship Id="rId178" Type="http://schemas.openxmlformats.org/officeDocument/2006/relationships/image" Target="media/image76.emf"/><Relationship Id="rId61" Type="http://schemas.openxmlformats.org/officeDocument/2006/relationships/image" Target="media/image20.emf"/><Relationship Id="rId82" Type="http://schemas.openxmlformats.org/officeDocument/2006/relationships/image" Target="media/image29.emf"/><Relationship Id="rId152" Type="http://schemas.openxmlformats.org/officeDocument/2006/relationships/image" Target="media/image63.emf"/><Relationship Id="rId173" Type="http://schemas.openxmlformats.org/officeDocument/2006/relationships/oleObject" Target="embeddings/oleObject72.bin"/><Relationship Id="rId194" Type="http://schemas.openxmlformats.org/officeDocument/2006/relationships/image" Target="media/image84.emf"/><Relationship Id="rId199"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image" Target="media/image5.emf"/><Relationship Id="rId35" Type="http://schemas.openxmlformats.org/officeDocument/2006/relationships/image" Target="media/image7.emf"/><Relationship Id="rId56" Type="http://schemas.openxmlformats.org/officeDocument/2006/relationships/oleObject" Target="embeddings/oleObject16.bin"/><Relationship Id="rId77" Type="http://schemas.openxmlformats.org/officeDocument/2006/relationships/oleObject" Target="embeddings/oleObject25.bin"/><Relationship Id="rId100" Type="http://schemas.openxmlformats.org/officeDocument/2006/relationships/image" Target="media/image38.emf"/><Relationship Id="rId105" Type="http://schemas.openxmlformats.org/officeDocument/2006/relationships/oleObject" Target="embeddings/oleObject39.bin"/><Relationship Id="rId126" Type="http://schemas.openxmlformats.org/officeDocument/2006/relationships/image" Target="media/image51.emf"/><Relationship Id="rId147" Type="http://schemas.openxmlformats.org/officeDocument/2006/relationships/oleObject" Target="embeddings/oleObject59.bin"/><Relationship Id="rId168" Type="http://schemas.openxmlformats.org/officeDocument/2006/relationships/image" Target="media/image71.emf"/><Relationship Id="rId8" Type="http://schemas.openxmlformats.org/officeDocument/2006/relationships/footnotes" Target="footnotes.xml"/><Relationship Id="rId51" Type="http://schemas.openxmlformats.org/officeDocument/2006/relationships/image" Target="media/image15.emf"/><Relationship Id="rId72" Type="http://schemas.openxmlformats.org/officeDocument/2006/relationships/oleObject" Target="embeddings/oleObject23.bin"/><Relationship Id="rId93" Type="http://schemas.openxmlformats.org/officeDocument/2006/relationships/oleObject" Target="embeddings/oleObject33.bin"/><Relationship Id="rId98" Type="http://schemas.openxmlformats.org/officeDocument/2006/relationships/image" Target="media/image37.emf"/><Relationship Id="rId121" Type="http://schemas.openxmlformats.org/officeDocument/2006/relationships/oleObject" Target="embeddings/oleObject47.bin"/><Relationship Id="rId142" Type="http://schemas.openxmlformats.org/officeDocument/2006/relationships/oleObject" Target="embeddings/oleObject57.bin"/><Relationship Id="rId163" Type="http://schemas.openxmlformats.org/officeDocument/2006/relationships/oleObject" Target="embeddings/oleObject67.bin"/><Relationship Id="rId184" Type="http://schemas.openxmlformats.org/officeDocument/2006/relationships/image" Target="media/image79.emf"/><Relationship Id="rId189" Type="http://schemas.openxmlformats.org/officeDocument/2006/relationships/oleObject" Target="embeddings/oleObject80.bin"/><Relationship Id="rId3" Type="http://schemas.openxmlformats.org/officeDocument/2006/relationships/numbering" Target="numbering.xml"/><Relationship Id="rId25" Type="http://schemas.openxmlformats.org/officeDocument/2006/relationships/image" Target="media/image3.emf"/><Relationship Id="rId46" Type="http://schemas.openxmlformats.org/officeDocument/2006/relationships/oleObject" Target="embeddings/oleObject11.bin"/><Relationship Id="rId67" Type="http://schemas.openxmlformats.org/officeDocument/2006/relationships/header" Target="header11.xml"/><Relationship Id="rId116" Type="http://schemas.openxmlformats.org/officeDocument/2006/relationships/image" Target="media/image46.emf"/><Relationship Id="rId137" Type="http://schemas.openxmlformats.org/officeDocument/2006/relationships/oleObject" Target="embeddings/oleObject55.bin"/><Relationship Id="rId158" Type="http://schemas.openxmlformats.org/officeDocument/2006/relationships/image" Target="media/image66.emf"/><Relationship Id="rId20" Type="http://schemas.openxmlformats.org/officeDocument/2006/relationships/header" Target="header7.xml"/><Relationship Id="rId41" Type="http://schemas.openxmlformats.org/officeDocument/2006/relationships/image" Target="media/image10.emf"/><Relationship Id="rId62" Type="http://schemas.openxmlformats.org/officeDocument/2006/relationships/oleObject" Target="embeddings/oleObject19.bin"/><Relationship Id="rId83" Type="http://schemas.openxmlformats.org/officeDocument/2006/relationships/oleObject" Target="embeddings/oleObject28.bin"/><Relationship Id="rId88" Type="http://schemas.openxmlformats.org/officeDocument/2006/relationships/image" Target="media/image32.emf"/><Relationship Id="rId111" Type="http://schemas.openxmlformats.org/officeDocument/2006/relationships/oleObject" Target="embeddings/oleObject42.bin"/><Relationship Id="rId132" Type="http://schemas.openxmlformats.org/officeDocument/2006/relationships/image" Target="media/image54.emf"/><Relationship Id="rId153" Type="http://schemas.openxmlformats.org/officeDocument/2006/relationships/oleObject" Target="embeddings/oleObject62.bin"/><Relationship Id="rId174" Type="http://schemas.openxmlformats.org/officeDocument/2006/relationships/image" Target="media/image74.emf"/><Relationship Id="rId179" Type="http://schemas.openxmlformats.org/officeDocument/2006/relationships/oleObject" Target="embeddings/oleObject75.bin"/><Relationship Id="rId195" Type="http://schemas.openxmlformats.org/officeDocument/2006/relationships/oleObject" Target="embeddings/oleObject83.bin"/><Relationship Id="rId190" Type="http://schemas.openxmlformats.org/officeDocument/2006/relationships/image" Target="media/image82.emf"/><Relationship Id="rId15" Type="http://schemas.openxmlformats.org/officeDocument/2006/relationships/header" Target="header4.xml"/><Relationship Id="rId36" Type="http://schemas.openxmlformats.org/officeDocument/2006/relationships/oleObject" Target="embeddings/oleObject6.bin"/><Relationship Id="rId57" Type="http://schemas.openxmlformats.org/officeDocument/2006/relationships/image" Target="media/image18.emf"/><Relationship Id="rId106" Type="http://schemas.openxmlformats.org/officeDocument/2006/relationships/image" Target="media/image41.emf"/><Relationship Id="rId127" Type="http://schemas.openxmlformats.org/officeDocument/2006/relationships/oleObject" Target="embeddings/oleObject50.bin"/><Relationship Id="rId10" Type="http://schemas.openxmlformats.org/officeDocument/2006/relationships/header" Target="header1.xml"/><Relationship Id="rId31" Type="http://schemas.openxmlformats.org/officeDocument/2006/relationships/oleObject" Target="embeddings/oleObject4.bin"/><Relationship Id="rId52" Type="http://schemas.openxmlformats.org/officeDocument/2006/relationships/oleObject" Target="embeddings/oleObject14.bin"/><Relationship Id="rId73" Type="http://schemas.openxmlformats.org/officeDocument/2006/relationships/header" Target="header12.xml"/><Relationship Id="rId78"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49.emf"/><Relationship Id="rId143" Type="http://schemas.openxmlformats.org/officeDocument/2006/relationships/header" Target="header14.xml"/><Relationship Id="rId148" Type="http://schemas.openxmlformats.org/officeDocument/2006/relationships/image" Target="media/image61.emf"/><Relationship Id="rId164" Type="http://schemas.openxmlformats.org/officeDocument/2006/relationships/image" Target="media/image69.emf"/><Relationship Id="rId169" Type="http://schemas.openxmlformats.org/officeDocument/2006/relationships/oleObject" Target="embeddings/oleObject70.bin"/><Relationship Id="rId185" Type="http://schemas.openxmlformats.org/officeDocument/2006/relationships/oleObject" Target="embeddings/oleObject78.bin"/><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77.emf"/><Relationship Id="rId26" Type="http://schemas.openxmlformats.org/officeDocument/2006/relationships/oleObject" Target="embeddings/oleObject2.bin"/><Relationship Id="rId47" Type="http://schemas.openxmlformats.org/officeDocument/2006/relationships/image" Target="media/image13.emf"/><Relationship Id="rId68" Type="http://schemas.openxmlformats.org/officeDocument/2006/relationships/footer" Target="footer6.xml"/><Relationship Id="rId89" Type="http://schemas.openxmlformats.org/officeDocument/2006/relationships/oleObject" Target="embeddings/oleObject31.bin"/><Relationship Id="rId112" Type="http://schemas.openxmlformats.org/officeDocument/2006/relationships/image" Target="media/image44.emf"/><Relationship Id="rId133" Type="http://schemas.openxmlformats.org/officeDocument/2006/relationships/oleObject" Target="embeddings/oleObject53.bin"/><Relationship Id="rId154" Type="http://schemas.openxmlformats.org/officeDocument/2006/relationships/image" Target="media/image64.emf"/><Relationship Id="rId175" Type="http://schemas.openxmlformats.org/officeDocument/2006/relationships/oleObject" Target="embeddings/oleObject73.bin"/></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AEMSEngagementItemInfo xmlns="http://schemas.microsoft.com/DAEMSEngagementItemInfoXML">
  <EngagementID>5000002414</EngagementID>
  <LogicalEMSServerID>839239884721417863</LogicalEMSServerID>
  <WorkingPaperID>2201442579600007571</WorkingPaperID>
</DAEMSEngagementItemInfo>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A984A-4D4E-451B-BF7E-C70720971733}">
  <ds:schemaRefs>
    <ds:schemaRef ds:uri="http://schemas.microsoft.com/DAEMSEngagementItemInfoXML"/>
  </ds:schemaRefs>
</ds:datastoreItem>
</file>

<file path=customXml/itemProps2.xml><?xml version="1.0" encoding="utf-8"?>
<ds:datastoreItem xmlns:ds="http://schemas.openxmlformats.org/officeDocument/2006/customXml" ds:itemID="{604256A9-2C1E-4A12-BB8F-258E8B8AE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72</Pages>
  <Words>16100</Words>
  <Characters>91772</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Privatbanka, a</vt:lpstr>
    </vt:vector>
  </TitlesOfParts>
  <Company>Deloitte Central Europe</Company>
  <LinksUpToDate>false</LinksUpToDate>
  <CharactersWithSpaces>107657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Privatbanka, a</dc:title>
  <dc:creator>rasto</dc:creator>
  <cp:lastModifiedBy>Pohranc Richard</cp:lastModifiedBy>
  <cp:revision>11</cp:revision>
  <cp:lastPrinted>2017-03-03T10:15:00Z</cp:lastPrinted>
  <dcterms:created xsi:type="dcterms:W3CDTF">2017-03-16T14:46:00Z</dcterms:created>
  <dcterms:modified xsi:type="dcterms:W3CDTF">2017-03-21T07:51:00Z</dcterms:modified>
</cp:coreProperties>
</file>